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1BC7A" w14:textId="1F12FA49" w:rsidR="00745473" w:rsidRPr="00767481" w:rsidRDefault="00327B18">
      <w:pPr>
        <w:rPr>
          <w:rFonts w:cstheme="minorHAnsi"/>
        </w:rPr>
      </w:pPr>
    </w:p>
    <w:p w14:paraId="3C085209" w14:textId="2525B067" w:rsidR="007C5046" w:rsidRDefault="007C5046" w:rsidP="00A6103A">
      <w:pPr>
        <w:rPr>
          <w:rFonts w:cstheme="minorHAnsi"/>
        </w:rPr>
      </w:pPr>
    </w:p>
    <w:p w14:paraId="000ECAA6" w14:textId="77777777" w:rsidR="007C5046" w:rsidRDefault="007C5046" w:rsidP="00A6103A">
      <w:pPr>
        <w:rPr>
          <w:rFonts w:cstheme="minorHAnsi"/>
        </w:rPr>
      </w:pPr>
    </w:p>
    <w:p w14:paraId="1FF41EC9" w14:textId="263FFE62" w:rsidR="00B812DA" w:rsidRDefault="00FB4AF0" w:rsidP="00A6103A">
      <w:pPr>
        <w:rPr>
          <w:rFonts w:cstheme="minorHAnsi"/>
        </w:rPr>
      </w:pPr>
      <w:r>
        <w:rPr>
          <w:rFonts w:cstheme="minorHAnsi"/>
        </w:rPr>
        <w:t>The c</w:t>
      </w:r>
      <w:r w:rsidR="000036D5" w:rsidRPr="000036D5">
        <w:rPr>
          <w:rFonts w:cstheme="minorHAnsi"/>
        </w:rPr>
        <w:t>hemical</w:t>
      </w:r>
      <w:r>
        <w:rPr>
          <w:rFonts w:cstheme="minorHAnsi"/>
        </w:rPr>
        <w:t xml:space="preserve"> footprint </w:t>
      </w:r>
      <w:r w:rsidR="00B812DA">
        <w:rPr>
          <w:rFonts w:cstheme="minorHAnsi"/>
        </w:rPr>
        <w:t>of the Industrial Revolution</w:t>
      </w:r>
      <w:r w:rsidR="000036D5" w:rsidRPr="000036D5">
        <w:rPr>
          <w:rFonts w:cstheme="minorHAnsi"/>
        </w:rPr>
        <w:t xml:space="preserve"> is now </w:t>
      </w:r>
      <w:r>
        <w:rPr>
          <w:rFonts w:cstheme="minorHAnsi"/>
        </w:rPr>
        <w:t xml:space="preserve">detectable in just about every square inch of the earth. </w:t>
      </w:r>
      <w:r w:rsidR="000036D5" w:rsidRPr="000036D5">
        <w:rPr>
          <w:rFonts w:cstheme="minorHAnsi"/>
        </w:rPr>
        <w:t xml:space="preserve"> </w:t>
      </w:r>
      <w:r>
        <w:rPr>
          <w:rFonts w:cstheme="minorHAnsi"/>
        </w:rPr>
        <w:t>Toxic chemicals have</w:t>
      </w:r>
      <w:r w:rsidR="000036D5" w:rsidRPr="000036D5">
        <w:rPr>
          <w:rFonts w:cstheme="minorHAnsi"/>
        </w:rPr>
        <w:t xml:space="preserve"> been detected in </w:t>
      </w:r>
      <w:r>
        <w:rPr>
          <w:rFonts w:cstheme="minorHAnsi"/>
        </w:rPr>
        <w:t>every layer of the</w:t>
      </w:r>
      <w:r w:rsidR="000036D5" w:rsidRPr="000036D5">
        <w:rPr>
          <w:rFonts w:cstheme="minorHAnsi"/>
        </w:rPr>
        <w:t xml:space="preserve"> atmosphere, </w:t>
      </w:r>
      <w:r>
        <w:rPr>
          <w:rFonts w:cstheme="minorHAnsi"/>
        </w:rPr>
        <w:t>in snow on Mt. Everest, at the bottom of the Mariana Trench</w:t>
      </w:r>
      <w:r w:rsidR="00E2014A">
        <w:rPr>
          <w:rFonts w:cstheme="minorHAnsi"/>
        </w:rPr>
        <w:t xml:space="preserve">, </w:t>
      </w:r>
      <w:r w:rsidR="000036D5" w:rsidRPr="000036D5">
        <w:rPr>
          <w:rFonts w:cstheme="minorHAnsi"/>
        </w:rPr>
        <w:t xml:space="preserve">in the most remote, uninhabited </w:t>
      </w:r>
      <w:r w:rsidR="00E2014A">
        <w:rPr>
          <w:rFonts w:cstheme="minorHAnsi"/>
        </w:rPr>
        <w:t>parts of the globe,</w:t>
      </w:r>
      <w:r w:rsidR="000036D5" w:rsidRPr="000036D5">
        <w:rPr>
          <w:rFonts w:cstheme="minorHAnsi"/>
        </w:rPr>
        <w:t xml:space="preserve"> in soil, water, air, and in the human food chain. There are more than 700 known dead zones in oceans and lakes, and pollution by </w:t>
      </w:r>
      <w:proofErr w:type="spellStart"/>
      <w:r w:rsidR="000036D5" w:rsidRPr="000036D5">
        <w:rPr>
          <w:rFonts w:cstheme="minorHAnsi"/>
        </w:rPr>
        <w:t>fertilisers</w:t>
      </w:r>
      <w:proofErr w:type="spellEnd"/>
      <w:r w:rsidR="000036D5" w:rsidRPr="000036D5">
        <w:rPr>
          <w:rFonts w:cstheme="minorHAnsi"/>
        </w:rPr>
        <w:t xml:space="preserve">, agrochemicals and sediments is one of the factors most strongly associated with these habitat collapses. </w:t>
      </w:r>
      <w:r w:rsidR="00E2014A" w:rsidRPr="000036D5">
        <w:rPr>
          <w:rFonts w:cstheme="minorHAnsi"/>
        </w:rPr>
        <w:t>They are found in aquatic biota, plants and wild animals</w:t>
      </w:r>
      <w:r w:rsidR="00E2014A">
        <w:rPr>
          <w:rFonts w:cstheme="minorHAnsi"/>
        </w:rPr>
        <w:t xml:space="preserve">. They are found throughout the human food chain. </w:t>
      </w:r>
      <w:r w:rsidR="00B812DA">
        <w:rPr>
          <w:rFonts w:cstheme="minorHAnsi"/>
        </w:rPr>
        <w:t>K</w:t>
      </w:r>
      <w:r w:rsidR="000036D5" w:rsidRPr="000036D5">
        <w:rPr>
          <w:rFonts w:cstheme="minorHAnsi"/>
        </w:rPr>
        <w:t xml:space="preserve">nown carcinogens, </w:t>
      </w:r>
      <w:r w:rsidR="00B812DA">
        <w:rPr>
          <w:rFonts w:cstheme="minorHAnsi"/>
        </w:rPr>
        <w:t>reproductive, genetic, and neuro toxins</w:t>
      </w:r>
      <w:proofErr w:type="spellStart"/>
      <w:r w:rsidR="00B812DA">
        <w:rPr>
          <w:rFonts w:cstheme="minorHAnsi"/>
        </w:rPr>
        <w:t xml:space="preserve"> </w:t>
      </w:r>
      <w:proofErr w:type="spellEnd"/>
      <w:r w:rsidR="000036D5" w:rsidRPr="000036D5">
        <w:rPr>
          <w:rFonts w:cstheme="minorHAnsi"/>
        </w:rPr>
        <w:t xml:space="preserve">have been detected in the blood and </w:t>
      </w:r>
      <w:r>
        <w:rPr>
          <w:rFonts w:cstheme="minorHAnsi"/>
        </w:rPr>
        <w:t>critical organs</w:t>
      </w:r>
      <w:r w:rsidR="000036D5" w:rsidRPr="000036D5">
        <w:rPr>
          <w:rFonts w:cstheme="minorHAnsi"/>
        </w:rPr>
        <w:t xml:space="preserve"> of</w:t>
      </w:r>
      <w:r>
        <w:rPr>
          <w:rFonts w:cstheme="minorHAnsi"/>
        </w:rPr>
        <w:t xml:space="preserve"> almost every human tested</w:t>
      </w:r>
      <w:r w:rsidR="000036D5" w:rsidRPr="000036D5">
        <w:rPr>
          <w:rFonts w:cstheme="minorHAnsi"/>
        </w:rPr>
        <w:t>, including the unborn and infants</w:t>
      </w:r>
      <w:r>
        <w:rPr>
          <w:rFonts w:cstheme="minorHAnsi"/>
        </w:rPr>
        <w:t xml:space="preserve">, </w:t>
      </w:r>
      <w:r w:rsidR="000036D5" w:rsidRPr="000036D5">
        <w:rPr>
          <w:rFonts w:cstheme="minorHAnsi"/>
        </w:rPr>
        <w:t xml:space="preserve">and in mother’s </w:t>
      </w:r>
      <w:r>
        <w:rPr>
          <w:rFonts w:cstheme="minorHAnsi"/>
        </w:rPr>
        <w:t xml:space="preserve">milk. </w:t>
      </w:r>
      <w:r w:rsidR="00B812DA">
        <w:rPr>
          <w:rFonts w:cstheme="minorHAnsi"/>
        </w:rPr>
        <w:t>The problem</w:t>
      </w:r>
      <w:r w:rsidR="007702E9">
        <w:rPr>
          <w:rFonts w:cstheme="minorHAnsi"/>
        </w:rPr>
        <w:t xml:space="preserve"> is steadily getting worse</w:t>
      </w:r>
      <w:r w:rsidR="00B812DA">
        <w:rPr>
          <w:rFonts w:cstheme="minorHAnsi"/>
        </w:rPr>
        <w:t xml:space="preserve">.  </w:t>
      </w:r>
      <w:r w:rsidR="007702E9">
        <w:rPr>
          <w:rFonts w:cstheme="minorHAnsi"/>
        </w:rPr>
        <w:t xml:space="preserve">From 2000 to 2017 global production of synthetic chemicals doubled to 2.3 billion tons, about 300 kg </w:t>
      </w:r>
      <w:r w:rsidR="007702E9" w:rsidRPr="007702E9">
        <w:rPr>
          <w:rFonts w:cstheme="minorHAnsi"/>
        </w:rPr>
        <w:t>per year for every man, woman, and child in the world</w:t>
      </w:r>
      <w:r w:rsidR="007702E9">
        <w:rPr>
          <w:rFonts w:cstheme="minorHAnsi"/>
        </w:rPr>
        <w:t>.</w:t>
      </w:r>
      <w:r w:rsidR="007702E9" w:rsidRPr="007702E9">
        <w:rPr>
          <w:rFonts w:cstheme="minorHAnsi"/>
        </w:rPr>
        <w:t xml:space="preserve"> </w:t>
      </w:r>
      <w:r w:rsidR="007702E9" w:rsidRPr="007702E9">
        <w:rPr>
          <w:rFonts w:cstheme="minorHAnsi"/>
          <w:vertAlign w:val="superscript"/>
        </w:rPr>
        <w:t>27</w:t>
      </w:r>
    </w:p>
    <w:p w14:paraId="187449D1" w14:textId="77777777" w:rsidR="000036D5" w:rsidRDefault="000036D5" w:rsidP="00A6103A">
      <w:pPr>
        <w:rPr>
          <w:rFonts w:cstheme="minorHAnsi"/>
        </w:rPr>
      </w:pPr>
    </w:p>
    <w:p w14:paraId="18C557B4" w14:textId="740552CB" w:rsidR="00A6103A" w:rsidRPr="00767481" w:rsidRDefault="00A6103A" w:rsidP="00A6103A">
      <w:pPr>
        <w:rPr>
          <w:rFonts w:cstheme="minorHAnsi"/>
        </w:rPr>
      </w:pPr>
      <w:r w:rsidRPr="00767481">
        <w:rPr>
          <w:rFonts w:cstheme="minorHAnsi"/>
        </w:rPr>
        <w:t xml:space="preserve">In recent years numerous medical experts and entire medical societies have made strong position statements regarding the danger to humans of even small doses of </w:t>
      </w:r>
      <w:r w:rsidR="00187471" w:rsidRPr="00767481">
        <w:rPr>
          <w:rFonts w:cstheme="minorHAnsi"/>
        </w:rPr>
        <w:t xml:space="preserve">industrial </w:t>
      </w:r>
      <w:r w:rsidRPr="00767481">
        <w:rPr>
          <w:rFonts w:cstheme="minorHAnsi"/>
        </w:rPr>
        <w:t xml:space="preserve">chemicals, and their link to </w:t>
      </w:r>
      <w:r w:rsidR="00107B69" w:rsidRPr="00767481">
        <w:rPr>
          <w:rFonts w:cstheme="minorHAnsi"/>
        </w:rPr>
        <w:t>multiple adverse health outcomes</w:t>
      </w:r>
      <w:r w:rsidR="007C5046">
        <w:rPr>
          <w:rFonts w:cstheme="minorHAnsi"/>
        </w:rPr>
        <w:t>;</w:t>
      </w:r>
      <w:r w:rsidR="00107B69" w:rsidRPr="00767481">
        <w:rPr>
          <w:rFonts w:cstheme="minorHAnsi"/>
        </w:rPr>
        <w:t xml:space="preserve"> including</w:t>
      </w:r>
      <w:r w:rsidR="00506FE5" w:rsidRPr="00767481">
        <w:rPr>
          <w:rFonts w:cstheme="minorHAnsi"/>
        </w:rPr>
        <w:t>;</w:t>
      </w:r>
      <w:r w:rsidR="00107B69" w:rsidRPr="00767481">
        <w:rPr>
          <w:rFonts w:cstheme="minorHAnsi"/>
        </w:rPr>
        <w:t xml:space="preserve"> </w:t>
      </w:r>
      <w:r w:rsidRPr="00767481">
        <w:rPr>
          <w:rFonts w:cstheme="minorHAnsi"/>
        </w:rPr>
        <w:t>obesity, cancer, heart disease, birth defects, reproductive pathology, and neurologic and brain disorders such as Parkinson’s, impaired intellect, autism and attention deficit disorder. The American Academy of Pediatrics, American College of Obstetricians and Gynecologists,</w:t>
      </w:r>
      <w:r w:rsidRPr="00767481">
        <w:rPr>
          <w:rFonts w:cstheme="minorHAnsi"/>
        </w:rPr>
        <w:t xml:space="preserve"> </w:t>
      </w:r>
      <w:r w:rsidRPr="00767481">
        <w:rPr>
          <w:rFonts w:cstheme="minorHAnsi"/>
        </w:rPr>
        <w:t>American Society for Reproductive Medicine, International Federation of Gynecology and Obstetrics (FIGO), World Health Organization, and the Endocrine Society are all mainstream</w:t>
      </w:r>
      <w:r w:rsidR="003A6385" w:rsidRPr="00767481">
        <w:rPr>
          <w:rFonts w:cstheme="minorHAnsi"/>
        </w:rPr>
        <w:t>, specialty</w:t>
      </w:r>
      <w:r w:rsidRPr="00767481">
        <w:rPr>
          <w:rFonts w:cstheme="minorHAnsi"/>
        </w:rPr>
        <w:t xml:space="preserve"> medical organizations that have, in one form or another, called for a sharp reduction in human exposure to chemicals broadly, and pesticides in particular.</w:t>
      </w:r>
    </w:p>
    <w:p w14:paraId="716489FE" w14:textId="77777777" w:rsidR="00187471" w:rsidRPr="00767481" w:rsidRDefault="00187471" w:rsidP="00A6103A">
      <w:pPr>
        <w:rPr>
          <w:rFonts w:cstheme="minorHAnsi"/>
        </w:rPr>
      </w:pPr>
    </w:p>
    <w:p w14:paraId="6E3439A1" w14:textId="31D17649" w:rsidR="003A6385" w:rsidRPr="00767481" w:rsidRDefault="00A6103A" w:rsidP="00A6103A">
      <w:pPr>
        <w:rPr>
          <w:rFonts w:cstheme="minorHAnsi"/>
        </w:rPr>
      </w:pPr>
      <w:r w:rsidRPr="00767481">
        <w:rPr>
          <w:rFonts w:cstheme="minorHAnsi"/>
        </w:rPr>
        <w:t xml:space="preserve">A recent review by </w:t>
      </w:r>
      <w:r w:rsidR="003A6385" w:rsidRPr="00767481">
        <w:rPr>
          <w:rFonts w:cstheme="minorHAnsi"/>
        </w:rPr>
        <w:t>twelve</w:t>
      </w:r>
      <w:r w:rsidRPr="00767481">
        <w:rPr>
          <w:rFonts w:cstheme="minorHAnsi"/>
        </w:rPr>
        <w:t xml:space="preserve"> of the</w:t>
      </w:r>
      <w:r w:rsidR="003A6385" w:rsidRPr="00767481">
        <w:rPr>
          <w:rFonts w:cstheme="minorHAnsi"/>
        </w:rPr>
        <w:t xml:space="preserve"> world’s most highly respected</w:t>
      </w:r>
      <w:r w:rsidRPr="00767481">
        <w:rPr>
          <w:rFonts w:cstheme="minorHAnsi"/>
        </w:rPr>
        <w:t xml:space="preserve"> researchers on endocrine disrupting chemicals (EDCs</w:t>
      </w:r>
      <w:r w:rsidR="00107B69" w:rsidRPr="00767481">
        <w:rPr>
          <w:rFonts w:cstheme="minorHAnsi"/>
        </w:rPr>
        <w:t>--</w:t>
      </w:r>
      <w:r w:rsidRPr="00767481">
        <w:rPr>
          <w:rFonts w:cstheme="minorHAnsi"/>
        </w:rPr>
        <w:t>chemicals that mimic or inhibit key human hormones at very small doses which includes most pesticides) concluded that, “Whether low doses of EDCs influence certain human disorders is no longer conjecture, because epidemiological studies show that environmental exposures to EDCs are associated with human diseases and disabilities,” and that, “For every chemical that we looked at that we could find a low-dose cutoff, if it had been studied at low doses it had an effect at low doses”</w:t>
      </w:r>
      <w:r w:rsidR="003A6385" w:rsidRPr="00767481">
        <w:rPr>
          <w:rFonts w:cstheme="minorHAnsi"/>
          <w:vertAlign w:val="superscript"/>
        </w:rPr>
        <w:t>1</w:t>
      </w:r>
      <w:r w:rsidR="003A6385" w:rsidRPr="00767481">
        <w:rPr>
          <w:rFonts w:cstheme="minorHAnsi"/>
        </w:rPr>
        <w:t xml:space="preserve"> </w:t>
      </w:r>
    </w:p>
    <w:p w14:paraId="12D517D9" w14:textId="12ADDC7D" w:rsidR="007816AD" w:rsidRDefault="007816AD" w:rsidP="00A6103A">
      <w:pPr>
        <w:rPr>
          <w:rFonts w:cstheme="minorHAnsi"/>
        </w:rPr>
      </w:pPr>
    </w:p>
    <w:p w14:paraId="32F063A7" w14:textId="540979EF" w:rsidR="00D050A9" w:rsidRPr="00767481" w:rsidRDefault="00D050A9" w:rsidP="00A6103A">
      <w:pPr>
        <w:rPr>
          <w:rFonts w:cstheme="minorHAnsi"/>
        </w:rPr>
      </w:pPr>
      <w:r>
        <w:rPr>
          <w:rFonts w:cstheme="minorHAnsi"/>
        </w:rPr>
        <w:t xml:space="preserve">The </w:t>
      </w:r>
      <w:r w:rsidRPr="00D050A9">
        <w:rPr>
          <w:rFonts w:cstheme="minorHAnsi"/>
        </w:rPr>
        <w:t>National Research Council warned in the 1990s that exposing fetuses and young kids to these compounds can cause lifelong damage at doses that wouldn't hurt their parents.</w:t>
      </w:r>
    </w:p>
    <w:p w14:paraId="0980CFE4" w14:textId="6DA77234" w:rsidR="007816AD" w:rsidRPr="00767481" w:rsidRDefault="00D050A9" w:rsidP="007816AD">
      <w:pPr>
        <w:rPr>
          <w:rFonts w:cstheme="minorHAnsi"/>
          <w:vertAlign w:val="superscript"/>
        </w:rPr>
      </w:pPr>
      <w:r>
        <w:rPr>
          <w:rFonts w:cstheme="minorHAnsi"/>
        </w:rPr>
        <w:t>More specifically, p</w:t>
      </w:r>
      <w:r w:rsidR="00107B69" w:rsidRPr="00767481">
        <w:rPr>
          <w:rFonts w:cstheme="minorHAnsi"/>
        </w:rPr>
        <w:t xml:space="preserve">esticides are often neurotoxins. </w:t>
      </w:r>
      <w:r w:rsidR="007816AD" w:rsidRPr="00767481">
        <w:rPr>
          <w:rFonts w:cstheme="minorHAnsi"/>
        </w:rPr>
        <w:t xml:space="preserve">Regarding the impacts of exposure to </w:t>
      </w:r>
      <w:r w:rsidR="00107B69" w:rsidRPr="00767481">
        <w:rPr>
          <w:rFonts w:cstheme="minorHAnsi"/>
        </w:rPr>
        <w:t>neuro</w:t>
      </w:r>
      <w:r w:rsidR="007816AD" w:rsidRPr="00767481">
        <w:rPr>
          <w:rFonts w:cstheme="minorHAnsi"/>
        </w:rPr>
        <w:t>toxi</w:t>
      </w:r>
      <w:r w:rsidR="00107B69" w:rsidRPr="00767481">
        <w:rPr>
          <w:rFonts w:cstheme="minorHAnsi"/>
        </w:rPr>
        <w:t xml:space="preserve">ns </w:t>
      </w:r>
      <w:r w:rsidR="007816AD" w:rsidRPr="00767481">
        <w:rPr>
          <w:rFonts w:cstheme="minorHAnsi"/>
        </w:rPr>
        <w:t xml:space="preserve">during critical windows of childhood brain development, </w:t>
      </w:r>
      <w:r w:rsidR="007816AD" w:rsidRPr="00767481">
        <w:rPr>
          <w:rFonts w:cstheme="minorHAnsi"/>
        </w:rPr>
        <w:t xml:space="preserve">Phil </w:t>
      </w:r>
      <w:proofErr w:type="spellStart"/>
      <w:r w:rsidR="007816AD" w:rsidRPr="00767481">
        <w:rPr>
          <w:rFonts w:cstheme="minorHAnsi"/>
        </w:rPr>
        <w:t>Landrigan</w:t>
      </w:r>
      <w:proofErr w:type="spellEnd"/>
      <w:r w:rsidR="007816AD" w:rsidRPr="00767481">
        <w:rPr>
          <w:rFonts w:cstheme="minorHAnsi"/>
        </w:rPr>
        <w:t>, dean for global health and a professor of pediatrics at the Mount Sinai School of Medicine in New York</w:t>
      </w:r>
      <w:r w:rsidR="007816AD" w:rsidRPr="00767481">
        <w:rPr>
          <w:rFonts w:cstheme="minorHAnsi"/>
        </w:rPr>
        <w:t xml:space="preserve"> says,  </w:t>
      </w:r>
      <w:r w:rsidR="007816AD" w:rsidRPr="00767481">
        <w:rPr>
          <w:rFonts w:cstheme="minorHAnsi"/>
        </w:rPr>
        <w:t>“These delicate developmental processes are easily disrupted by very small doses of toxic chemicals that would be virtually harmless for an adult</w:t>
      </w:r>
      <w:r w:rsidR="007816AD" w:rsidRPr="00767481">
        <w:rPr>
          <w:rFonts w:cstheme="minorHAnsi"/>
        </w:rPr>
        <w:t>.”</w:t>
      </w:r>
      <w:r w:rsidR="003B1532" w:rsidRPr="00767481">
        <w:rPr>
          <w:rFonts w:cstheme="minorHAnsi"/>
          <w:vertAlign w:val="superscript"/>
        </w:rPr>
        <w:t>24</w:t>
      </w:r>
    </w:p>
    <w:p w14:paraId="7A181E74" w14:textId="77777777" w:rsidR="006615D5" w:rsidRPr="00767481" w:rsidRDefault="006615D5" w:rsidP="006615D5">
      <w:pPr>
        <w:rPr>
          <w:rFonts w:cstheme="minorHAnsi"/>
        </w:rPr>
      </w:pPr>
    </w:p>
    <w:p w14:paraId="2778A87A" w14:textId="4C08B161" w:rsidR="006615D5" w:rsidRPr="00767481" w:rsidRDefault="006615D5" w:rsidP="006615D5">
      <w:pPr>
        <w:rPr>
          <w:rFonts w:cstheme="minorHAnsi"/>
        </w:rPr>
      </w:pPr>
      <w:r w:rsidRPr="00767481">
        <w:rPr>
          <w:rFonts w:cstheme="minorHAnsi"/>
        </w:rPr>
        <w:lastRenderedPageBreak/>
        <w:t xml:space="preserve">Regarding the active ingredients </w:t>
      </w:r>
      <w:r w:rsidRPr="00767481">
        <w:rPr>
          <w:rFonts w:cstheme="minorHAnsi"/>
        </w:rPr>
        <w:t>in</w:t>
      </w:r>
      <w:r w:rsidRPr="00767481">
        <w:rPr>
          <w:rFonts w:cstheme="minorHAnsi"/>
        </w:rPr>
        <w:t xml:space="preserve"> herbicides and insecticide</w:t>
      </w:r>
      <w:r w:rsidR="00506FE5" w:rsidRPr="00767481">
        <w:rPr>
          <w:rFonts w:cstheme="minorHAnsi"/>
        </w:rPr>
        <w:t>s</w:t>
      </w:r>
      <w:r w:rsidRPr="00767481">
        <w:rPr>
          <w:rFonts w:cstheme="minorHAnsi"/>
        </w:rPr>
        <w:t xml:space="preserve"> in general</w:t>
      </w:r>
      <w:r w:rsidRPr="00767481">
        <w:rPr>
          <w:rFonts w:cstheme="minorHAnsi"/>
        </w:rPr>
        <w:t>, all primary ingredients “have been found to cause negative effects on humans or ecosystems depending on exposure levels. This is found despite the incomplete hazard profiles of several AS [active substances].”</w:t>
      </w:r>
      <w:r w:rsidRPr="00767481">
        <w:rPr>
          <w:rFonts w:cstheme="minorHAnsi"/>
          <w:vertAlign w:val="superscript"/>
        </w:rPr>
        <w:t>25</w:t>
      </w:r>
    </w:p>
    <w:p w14:paraId="128306C7" w14:textId="77777777" w:rsidR="003A6385" w:rsidRPr="00767481" w:rsidRDefault="003A6385" w:rsidP="00A6103A">
      <w:pPr>
        <w:rPr>
          <w:rFonts w:cstheme="minorHAnsi"/>
        </w:rPr>
      </w:pPr>
    </w:p>
    <w:p w14:paraId="643FDEA8" w14:textId="54145A26" w:rsidR="00826E8D" w:rsidRPr="00767481" w:rsidRDefault="00A6103A" w:rsidP="00D26519">
      <w:pPr>
        <w:rPr>
          <w:rFonts w:cstheme="minorHAnsi"/>
        </w:rPr>
      </w:pPr>
      <w:r w:rsidRPr="00767481">
        <w:rPr>
          <w:rFonts w:cstheme="minorHAnsi"/>
        </w:rPr>
        <w:t>Toxicologist Linda Birnbaum, the director of the U.S. National Institute of Environmental Health Sciences (NIEHS), stated that</w:t>
      </w:r>
      <w:r w:rsidR="00187471" w:rsidRPr="00767481">
        <w:rPr>
          <w:rFonts w:cstheme="minorHAnsi"/>
        </w:rPr>
        <w:t xml:space="preserve"> </w:t>
      </w:r>
      <w:r w:rsidRPr="00767481">
        <w:rPr>
          <w:rFonts w:cstheme="minorHAnsi"/>
        </w:rPr>
        <w:t>“existing US regulations have not kept pace with scientific advances</w:t>
      </w:r>
      <w:r w:rsidR="00187471" w:rsidRPr="00767481">
        <w:rPr>
          <w:rFonts w:cstheme="minorHAnsi"/>
        </w:rPr>
        <w:t xml:space="preserve"> </w:t>
      </w:r>
      <w:r w:rsidRPr="00767481">
        <w:rPr>
          <w:rFonts w:cstheme="minorHAnsi"/>
        </w:rPr>
        <w:t>showing that widely used chemicals cause serious health problems at levels previously assumed</w:t>
      </w:r>
      <w:r w:rsidR="00187471" w:rsidRPr="00767481">
        <w:rPr>
          <w:rFonts w:cstheme="minorHAnsi"/>
        </w:rPr>
        <w:t xml:space="preserve"> </w:t>
      </w:r>
      <w:r w:rsidRPr="00767481">
        <w:rPr>
          <w:rFonts w:cstheme="minorHAnsi"/>
        </w:rPr>
        <w:t>to be safe.”</w:t>
      </w:r>
      <w:r w:rsidR="003A6385" w:rsidRPr="00767481">
        <w:rPr>
          <w:rFonts w:cstheme="minorHAnsi"/>
          <w:vertAlign w:val="superscript"/>
        </w:rPr>
        <w:t>2</w:t>
      </w:r>
      <w:r w:rsidR="003A6385" w:rsidRPr="00767481">
        <w:rPr>
          <w:rFonts w:cstheme="minorHAnsi"/>
        </w:rPr>
        <w:t xml:space="preserve"> </w:t>
      </w:r>
    </w:p>
    <w:p w14:paraId="2AC3EAF7" w14:textId="3919CAF7" w:rsidR="00B14186" w:rsidRPr="00767481" w:rsidRDefault="00B14186" w:rsidP="00A6103A">
      <w:pPr>
        <w:rPr>
          <w:rFonts w:cstheme="minorHAnsi"/>
        </w:rPr>
      </w:pPr>
    </w:p>
    <w:p w14:paraId="11BD049F" w14:textId="2BD35639" w:rsidR="00A6103A" w:rsidRPr="00767481" w:rsidRDefault="00A6103A" w:rsidP="00A6103A">
      <w:pPr>
        <w:rPr>
          <w:rFonts w:cstheme="minorHAnsi"/>
        </w:rPr>
      </w:pPr>
      <w:r w:rsidRPr="00767481">
        <w:rPr>
          <w:rFonts w:cstheme="minorHAnsi"/>
        </w:rPr>
        <w:t>At the top of the list of chemicals of concern</w:t>
      </w:r>
      <w:r w:rsidR="009F38BD" w:rsidRPr="00767481">
        <w:rPr>
          <w:rFonts w:cstheme="minorHAnsi"/>
        </w:rPr>
        <w:t xml:space="preserve"> among these experts</w:t>
      </w:r>
      <w:r w:rsidRPr="00767481">
        <w:rPr>
          <w:rFonts w:cstheme="minorHAnsi"/>
        </w:rPr>
        <w:t xml:space="preserve"> are pesticides (insecticides and herbicides) because they function as biological poisons to all living cells, from pest insects</w:t>
      </w:r>
      <w:r w:rsidR="00633F91" w:rsidRPr="00767481">
        <w:rPr>
          <w:rFonts w:cstheme="minorHAnsi"/>
        </w:rPr>
        <w:t xml:space="preserve"> and plants</w:t>
      </w:r>
      <w:r w:rsidRPr="00767481">
        <w:rPr>
          <w:rFonts w:cstheme="minorHAnsi"/>
        </w:rPr>
        <w:t xml:space="preserve"> to humans and everything in between. Prominent researchers and medical societies have for years advocated a complete re- evaluation of the rationale for, and justification of, their use. It is increasingly clear that much of society’s use of pesticides is cavalier, poorly reasoned, often counterproductive to the intended goal, and represents </w:t>
      </w:r>
      <w:r w:rsidR="009F38BD" w:rsidRPr="00767481">
        <w:rPr>
          <w:rFonts w:cstheme="minorHAnsi"/>
        </w:rPr>
        <w:t>misplaced</w:t>
      </w:r>
      <w:r w:rsidRPr="00767481">
        <w:rPr>
          <w:rFonts w:cstheme="minorHAnsi"/>
        </w:rPr>
        <w:t xml:space="preserve"> priorities by causing unacceptable public health risk for dubious benefit. Th</w:t>
      </w:r>
      <w:r w:rsidR="00633F91" w:rsidRPr="00767481">
        <w:rPr>
          <w:rFonts w:cstheme="minorHAnsi"/>
        </w:rPr>
        <w:t>is</w:t>
      </w:r>
      <w:r w:rsidRPr="00767481">
        <w:rPr>
          <w:rFonts w:cstheme="minorHAnsi"/>
        </w:rPr>
        <w:t xml:space="preserve"> is </w:t>
      </w:r>
      <w:r w:rsidR="00633F91" w:rsidRPr="00767481">
        <w:rPr>
          <w:rFonts w:cstheme="minorHAnsi"/>
        </w:rPr>
        <w:t>certainly true regarding the landscape scale use of herbicides.</w:t>
      </w:r>
    </w:p>
    <w:p w14:paraId="659F8A31" w14:textId="34857090" w:rsidR="00D26519" w:rsidRPr="00767481" w:rsidRDefault="00D26519" w:rsidP="00A6103A">
      <w:pPr>
        <w:rPr>
          <w:rFonts w:cstheme="minorHAnsi"/>
        </w:rPr>
      </w:pPr>
    </w:p>
    <w:p w14:paraId="1F5CEC26" w14:textId="248B2026" w:rsidR="00D26519" w:rsidRPr="00B15510" w:rsidRDefault="00D26519" w:rsidP="00D26519">
      <w:pPr>
        <w:rPr>
          <w:rFonts w:cstheme="minorHAnsi"/>
          <w:color w:val="000000" w:themeColor="text1"/>
        </w:rPr>
      </w:pPr>
      <w:r w:rsidRPr="00767481">
        <w:rPr>
          <w:rFonts w:cstheme="minorHAnsi"/>
        </w:rPr>
        <w:t>This criticism speaks to those who invoke “EPA approval” as evidence of safety and public health benignity for industrial chemicals, including pesticides</w:t>
      </w:r>
      <w:r w:rsidRPr="00B15510">
        <w:rPr>
          <w:rFonts w:cstheme="minorHAnsi"/>
          <w:color w:val="000000" w:themeColor="text1"/>
        </w:rPr>
        <w:t>.</w:t>
      </w:r>
      <w:r w:rsidRPr="00B15510">
        <w:rPr>
          <w:rFonts w:cstheme="minorHAnsi"/>
          <w:color w:val="000000" w:themeColor="text1"/>
        </w:rPr>
        <w:t xml:space="preserve"> </w:t>
      </w:r>
      <w:r w:rsidRPr="00B15510">
        <w:rPr>
          <w:rFonts w:cstheme="minorHAnsi"/>
          <w:color w:val="000000" w:themeColor="text1"/>
        </w:rPr>
        <w:t xml:space="preserve">For two </w:t>
      </w:r>
      <w:r w:rsidR="00B15510" w:rsidRPr="00B15510">
        <w:rPr>
          <w:rFonts w:cstheme="minorHAnsi"/>
          <w:color w:val="000000" w:themeColor="text1"/>
        </w:rPr>
        <w:t xml:space="preserve">profound </w:t>
      </w:r>
      <w:r w:rsidRPr="00B15510">
        <w:rPr>
          <w:rFonts w:cstheme="minorHAnsi"/>
          <w:color w:val="000000" w:themeColor="text1"/>
        </w:rPr>
        <w:t>reasons, the EPA fails to protect the public from hazard</w:t>
      </w:r>
      <w:r w:rsidR="00402C5B" w:rsidRPr="00B15510">
        <w:rPr>
          <w:rFonts w:cstheme="minorHAnsi"/>
          <w:color w:val="000000" w:themeColor="text1"/>
        </w:rPr>
        <w:t>ous chemicals</w:t>
      </w:r>
      <w:r w:rsidRPr="00B15510">
        <w:rPr>
          <w:rFonts w:cstheme="minorHAnsi"/>
          <w:color w:val="000000" w:themeColor="text1"/>
        </w:rPr>
        <w:t>—</w:t>
      </w:r>
      <w:r w:rsidR="00402C5B" w:rsidRPr="00B15510">
        <w:rPr>
          <w:rFonts w:cstheme="minorHAnsi"/>
          <w:color w:val="000000" w:themeColor="text1"/>
        </w:rPr>
        <w:t xml:space="preserve">1. </w:t>
      </w:r>
      <w:r w:rsidR="00B15510">
        <w:rPr>
          <w:rFonts w:cstheme="minorHAnsi"/>
          <w:color w:val="000000" w:themeColor="text1"/>
        </w:rPr>
        <w:t>R</w:t>
      </w:r>
      <w:r w:rsidRPr="00B15510">
        <w:rPr>
          <w:rFonts w:cstheme="minorHAnsi"/>
          <w:color w:val="000000" w:themeColor="text1"/>
        </w:rPr>
        <w:t xml:space="preserve">egulatory capture of the agency by the chemical industry, and </w:t>
      </w:r>
      <w:r w:rsidR="00402C5B" w:rsidRPr="00B15510">
        <w:rPr>
          <w:rFonts w:cstheme="minorHAnsi"/>
          <w:color w:val="000000" w:themeColor="text1"/>
        </w:rPr>
        <w:t xml:space="preserve">2. </w:t>
      </w:r>
      <w:r w:rsidR="00B15510">
        <w:rPr>
          <w:rFonts w:cstheme="minorHAnsi"/>
          <w:color w:val="000000" w:themeColor="text1"/>
        </w:rPr>
        <w:t>R</w:t>
      </w:r>
      <w:r w:rsidRPr="00B15510">
        <w:rPr>
          <w:rFonts w:cstheme="minorHAnsi"/>
          <w:color w:val="000000" w:themeColor="text1"/>
        </w:rPr>
        <w:t xml:space="preserve">eliance on inadequate and inappropriate </w:t>
      </w:r>
      <w:r w:rsidR="007C31AE" w:rsidRPr="00B15510">
        <w:rPr>
          <w:rFonts w:cstheme="minorHAnsi"/>
          <w:color w:val="000000" w:themeColor="text1"/>
        </w:rPr>
        <w:t xml:space="preserve">“science” to determine chemical hazards. </w:t>
      </w:r>
      <w:r w:rsidRPr="00B15510">
        <w:rPr>
          <w:rFonts w:cstheme="minorHAnsi"/>
          <w:color w:val="000000" w:themeColor="text1"/>
        </w:rPr>
        <w:t>Both of these issues are addressed in detail in the appendix.</w:t>
      </w:r>
    </w:p>
    <w:p w14:paraId="2A355E4E" w14:textId="5C6FAE27" w:rsidR="009F38BD" w:rsidRPr="00767481" w:rsidRDefault="009F38BD" w:rsidP="00A6103A">
      <w:pPr>
        <w:rPr>
          <w:rFonts w:cstheme="minorHAnsi"/>
        </w:rPr>
      </w:pPr>
    </w:p>
    <w:p w14:paraId="4378E383" w14:textId="424A1E30" w:rsidR="009F38BD" w:rsidRDefault="009F38BD" w:rsidP="00A6103A">
      <w:pPr>
        <w:rPr>
          <w:rFonts w:cstheme="minorHAnsi"/>
        </w:rPr>
      </w:pPr>
      <w:r w:rsidRPr="00767481">
        <w:rPr>
          <w:rFonts w:cstheme="minorHAnsi"/>
        </w:rPr>
        <w:t xml:space="preserve">Below are considerations specific to herbicides that </w:t>
      </w:r>
      <w:r w:rsidR="00887B54" w:rsidRPr="00767481">
        <w:rPr>
          <w:rFonts w:cstheme="minorHAnsi"/>
        </w:rPr>
        <w:t xml:space="preserve">are listed as part of the plan </w:t>
      </w:r>
      <w:r w:rsidRPr="00767481">
        <w:rPr>
          <w:rFonts w:cstheme="minorHAnsi"/>
        </w:rPr>
        <w:t xml:space="preserve">in the </w:t>
      </w:r>
      <w:r w:rsidRPr="00767481">
        <w:rPr>
          <w:rFonts w:cstheme="minorHAnsi"/>
        </w:rPr>
        <w:t>Parley's Canyon Watershed Restoration FY23</w:t>
      </w:r>
    </w:p>
    <w:p w14:paraId="3074DD59" w14:textId="0E5C64DE" w:rsidR="00B15510" w:rsidRDefault="00B15510" w:rsidP="00A6103A">
      <w:pPr>
        <w:rPr>
          <w:rFonts w:cstheme="minorHAnsi"/>
        </w:rPr>
      </w:pPr>
    </w:p>
    <w:p w14:paraId="099661B5" w14:textId="77777777" w:rsidR="00B15510" w:rsidRPr="00767481" w:rsidRDefault="00B15510" w:rsidP="00A6103A">
      <w:pPr>
        <w:rPr>
          <w:rFonts w:cstheme="minorHAnsi"/>
        </w:rPr>
      </w:pPr>
    </w:p>
    <w:p w14:paraId="799B677D" w14:textId="59DE0FC2" w:rsidR="00633F91" w:rsidRPr="00767481" w:rsidRDefault="00633F91" w:rsidP="00A6103A">
      <w:pPr>
        <w:rPr>
          <w:rFonts w:cstheme="minorHAnsi"/>
        </w:rPr>
      </w:pPr>
    </w:p>
    <w:p w14:paraId="26EB7837" w14:textId="4A80282D" w:rsidR="00DE3A5D" w:rsidRDefault="00DE3A5D" w:rsidP="00943EE9">
      <w:pPr>
        <w:jc w:val="center"/>
        <w:rPr>
          <w:rFonts w:cstheme="minorHAnsi"/>
          <w:b/>
          <w:bCs/>
          <w:sz w:val="28"/>
          <w:szCs w:val="28"/>
        </w:rPr>
      </w:pPr>
      <w:r w:rsidRPr="00767481">
        <w:rPr>
          <w:rFonts w:cstheme="minorHAnsi"/>
          <w:b/>
          <w:bCs/>
          <w:sz w:val="28"/>
          <w:szCs w:val="28"/>
        </w:rPr>
        <w:t>Dicamba</w:t>
      </w:r>
    </w:p>
    <w:p w14:paraId="31922DDD" w14:textId="77777777" w:rsidR="0096200C" w:rsidRPr="00767481" w:rsidRDefault="0096200C" w:rsidP="00943EE9">
      <w:pPr>
        <w:jc w:val="center"/>
        <w:rPr>
          <w:rFonts w:cstheme="minorHAnsi"/>
          <w:b/>
          <w:bCs/>
          <w:sz w:val="28"/>
          <w:szCs w:val="28"/>
        </w:rPr>
      </w:pPr>
    </w:p>
    <w:p w14:paraId="4660C9E0" w14:textId="66B86AD6" w:rsidR="00B51D2E" w:rsidRPr="00767481" w:rsidRDefault="00887B54" w:rsidP="00785E90">
      <w:pPr>
        <w:jc w:val="center"/>
        <w:rPr>
          <w:rFonts w:eastAsia="Times New Roman" w:cstheme="minorHAnsi"/>
          <w:color w:val="414141"/>
        </w:rPr>
      </w:pPr>
      <w:r w:rsidRPr="00B51D2E">
        <w:rPr>
          <w:rFonts w:eastAsia="Times New Roman" w:cstheme="minorHAnsi"/>
        </w:rPr>
        <w:fldChar w:fldCharType="begin"/>
      </w:r>
      <w:r w:rsidRPr="00B51D2E">
        <w:rPr>
          <w:rFonts w:eastAsia="Times New Roman" w:cstheme="minorHAnsi"/>
        </w:rPr>
        <w:instrText xml:space="preserve"> INCLUDEPICTURE "/var/folders/cl/r4_zs2j125n00brqf11cptsr0000gn/T/com.microsoft.Word/WebArchiveCopyPasteTempFiles/page2image17559952" \* MERGEFORMATINET </w:instrText>
      </w:r>
      <w:r w:rsidRPr="00B51D2E">
        <w:rPr>
          <w:rFonts w:eastAsia="Times New Roman" w:cstheme="minorHAnsi"/>
        </w:rPr>
        <w:fldChar w:fldCharType="separate"/>
      </w:r>
      <w:r w:rsidRPr="00767481">
        <w:rPr>
          <w:rFonts w:eastAsia="Times New Roman" w:cstheme="minorHAnsi"/>
          <w:noProof/>
        </w:rPr>
        <w:drawing>
          <wp:inline distT="0" distB="0" distL="0" distR="0" wp14:anchorId="4BE78ABA" wp14:editId="3CE2FAE2">
            <wp:extent cx="1360805" cy="1231265"/>
            <wp:effectExtent l="12700" t="12700" r="10795" b="13335"/>
            <wp:docPr id="1" name="Picture 1" descr="page2image1755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75599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0805" cy="1231265"/>
                    </a:xfrm>
                    <a:prstGeom prst="rect">
                      <a:avLst/>
                    </a:prstGeom>
                    <a:noFill/>
                    <a:ln w="12700">
                      <a:solidFill>
                        <a:schemeClr val="tx1"/>
                      </a:solidFill>
                    </a:ln>
                  </pic:spPr>
                </pic:pic>
              </a:graphicData>
            </a:graphic>
          </wp:inline>
        </w:drawing>
      </w:r>
      <w:r w:rsidRPr="00B51D2E">
        <w:rPr>
          <w:rFonts w:eastAsia="Times New Roman" w:cstheme="minorHAnsi"/>
        </w:rPr>
        <w:fldChar w:fldCharType="end"/>
      </w:r>
    </w:p>
    <w:p w14:paraId="76B31EED" w14:textId="0C1397EF" w:rsidR="00B51D2E" w:rsidRPr="00B51D2E" w:rsidRDefault="00B51D2E" w:rsidP="00B51D2E">
      <w:pPr>
        <w:rPr>
          <w:rFonts w:eastAsia="Times New Roman" w:cstheme="minorHAnsi"/>
        </w:rPr>
      </w:pPr>
    </w:p>
    <w:p w14:paraId="65C060AC" w14:textId="77777777" w:rsidR="00B51D2E" w:rsidRPr="00767481" w:rsidRDefault="00B51D2E" w:rsidP="00FA65D1">
      <w:pPr>
        <w:rPr>
          <w:rFonts w:eastAsia="Times New Roman" w:cstheme="minorHAnsi"/>
          <w:color w:val="414141"/>
        </w:rPr>
      </w:pPr>
    </w:p>
    <w:p w14:paraId="39C67859" w14:textId="544FB5EC" w:rsidR="00FA65D1" w:rsidRPr="00496E76" w:rsidRDefault="009175AA" w:rsidP="00FA65D1">
      <w:pPr>
        <w:rPr>
          <w:rFonts w:eastAsia="Times New Roman" w:cstheme="minorHAnsi"/>
          <w:b/>
          <w:bCs/>
          <w:color w:val="151515"/>
          <w:shd w:val="clear" w:color="auto" w:fill="FFFFFF"/>
        </w:rPr>
      </w:pPr>
      <w:r w:rsidRPr="009175AA">
        <w:rPr>
          <w:rFonts w:eastAsia="Times New Roman" w:cstheme="minorHAnsi"/>
          <w:color w:val="414141"/>
        </w:rPr>
        <w:t>Dicamba</w:t>
      </w:r>
      <w:r w:rsidR="00887B54" w:rsidRPr="00767481">
        <w:rPr>
          <w:rFonts w:eastAsia="Times New Roman" w:cstheme="minorHAnsi"/>
          <w:color w:val="414141"/>
        </w:rPr>
        <w:t xml:space="preserve"> was introduced to the market in the 1960s, b</w:t>
      </w:r>
      <w:r w:rsidRPr="009175AA">
        <w:rPr>
          <w:rFonts w:eastAsia="Times New Roman" w:cstheme="minorHAnsi"/>
          <w:color w:val="414141"/>
        </w:rPr>
        <w:t>ut because of its toxicity, farmers rarely used it. </w:t>
      </w:r>
      <w:r w:rsidR="00AC49A0" w:rsidRPr="00AC49A0">
        <w:rPr>
          <w:rFonts w:eastAsia="Times New Roman" w:cstheme="minorHAnsi"/>
          <w:color w:val="000000"/>
        </w:rPr>
        <w:t xml:space="preserve">Before 2016, dicamba was used as a pre-planting or post-harvest “burndown” herbicide — to reduce both weedy biomass and the number of viable weed seeds in crop fields. </w:t>
      </w:r>
      <w:r w:rsidR="00FA65D1" w:rsidRPr="00D731E8">
        <w:rPr>
          <w:rFonts w:eastAsia="Times New Roman" w:cstheme="minorHAnsi"/>
          <w:color w:val="151515"/>
          <w:shd w:val="clear" w:color="auto" w:fill="FFFFFF"/>
        </w:rPr>
        <w:t xml:space="preserve">Dicamba </w:t>
      </w:r>
      <w:r w:rsidR="00FA65D1" w:rsidRPr="00D731E8">
        <w:rPr>
          <w:rFonts w:eastAsia="Times New Roman" w:cstheme="minorHAnsi"/>
          <w:color w:val="151515"/>
          <w:shd w:val="clear" w:color="auto" w:fill="FFFFFF"/>
        </w:rPr>
        <w:lastRenderedPageBreak/>
        <w:t xml:space="preserve">has been in widespread use </w:t>
      </w:r>
      <w:r w:rsidR="00496E76">
        <w:rPr>
          <w:rFonts w:eastAsia="Times New Roman" w:cstheme="minorHAnsi"/>
          <w:color w:val="151515"/>
          <w:shd w:val="clear" w:color="auto" w:fill="FFFFFF"/>
        </w:rPr>
        <w:t xml:space="preserve">just </w:t>
      </w:r>
      <w:r w:rsidR="00FA65D1" w:rsidRPr="00D731E8">
        <w:rPr>
          <w:rFonts w:eastAsia="Times New Roman" w:cstheme="minorHAnsi"/>
          <w:color w:val="151515"/>
          <w:shd w:val="clear" w:color="auto" w:fill="FFFFFF"/>
        </w:rPr>
        <w:t xml:space="preserve">since 2017, </w:t>
      </w:r>
      <w:r w:rsidR="00FA65D1" w:rsidRPr="00D731E8">
        <w:rPr>
          <w:rFonts w:eastAsia="Times New Roman" w:cstheme="minorHAnsi"/>
          <w:b/>
          <w:bCs/>
          <w:color w:val="151515"/>
          <w:shd w:val="clear" w:color="auto" w:fill="FFFFFF"/>
        </w:rPr>
        <w:t>but dicamba-resistant weeds are already making it less effective.</w:t>
      </w:r>
    </w:p>
    <w:p w14:paraId="1A91C32A" w14:textId="64F8EFCF" w:rsidR="00FA65D1" w:rsidRPr="00767481" w:rsidRDefault="00FA65D1" w:rsidP="00FA65D1">
      <w:pPr>
        <w:rPr>
          <w:rFonts w:eastAsia="Times New Roman" w:cstheme="minorHAnsi"/>
          <w:color w:val="151515"/>
          <w:sz w:val="30"/>
          <w:szCs w:val="30"/>
          <w:shd w:val="clear" w:color="auto" w:fill="FFFFFF"/>
        </w:rPr>
      </w:pPr>
    </w:p>
    <w:p w14:paraId="359E8BDE" w14:textId="13364BA7" w:rsidR="00D348B5" w:rsidRPr="00767481" w:rsidRDefault="00FA65D1" w:rsidP="00FA65D1">
      <w:pPr>
        <w:rPr>
          <w:rFonts w:eastAsia="Times New Roman" w:cstheme="minorHAnsi"/>
          <w:color w:val="151515"/>
          <w:shd w:val="clear" w:color="auto" w:fill="FFFFFF"/>
        </w:rPr>
      </w:pPr>
      <w:r w:rsidRPr="00767481">
        <w:rPr>
          <w:rFonts w:eastAsia="Times New Roman" w:cstheme="minorHAnsi"/>
          <w:color w:val="151515"/>
          <w:shd w:val="clear" w:color="auto" w:fill="FFFFFF"/>
        </w:rPr>
        <w:t xml:space="preserve">Dicamba </w:t>
      </w:r>
      <w:r w:rsidR="00B51D2E" w:rsidRPr="00767481">
        <w:rPr>
          <w:rFonts w:eastAsia="Times New Roman" w:cstheme="minorHAnsi"/>
          <w:color w:val="151515"/>
          <w:shd w:val="clear" w:color="auto" w:fill="FFFFFF"/>
        </w:rPr>
        <w:t>is a systemic (i.e., absorbed through plant leaves and roots) benzoic acid used to control broadleaf weeds by mimicking auxins (a type of plant hormone)</w:t>
      </w:r>
      <w:r w:rsidR="00B51D2E" w:rsidRPr="00767481">
        <w:rPr>
          <w:rFonts w:eastAsia="Times New Roman" w:cstheme="minorHAnsi"/>
          <w:color w:val="151515"/>
          <w:shd w:val="clear" w:color="auto" w:fill="FFFFFF"/>
        </w:rPr>
        <w:t xml:space="preserve">.  </w:t>
      </w:r>
      <w:r w:rsidR="00496E76">
        <w:rPr>
          <w:rFonts w:eastAsia="Times New Roman" w:cstheme="minorHAnsi"/>
          <w:color w:val="151515"/>
          <w:shd w:val="clear" w:color="auto" w:fill="FFFFFF"/>
        </w:rPr>
        <w:t>Dicamba’s</w:t>
      </w:r>
      <w:r w:rsidR="00B51D2E" w:rsidRPr="00767481">
        <w:rPr>
          <w:rFonts w:eastAsia="Times New Roman" w:cstheme="minorHAnsi"/>
          <w:color w:val="151515"/>
          <w:shd w:val="clear" w:color="auto" w:fill="FFFFFF"/>
        </w:rPr>
        <w:t xml:space="preserve"> efficacy is derived from action</w:t>
      </w:r>
      <w:r w:rsidRPr="00767481">
        <w:rPr>
          <w:rFonts w:eastAsia="Times New Roman" w:cstheme="minorHAnsi"/>
          <w:color w:val="151515"/>
          <w:shd w:val="clear" w:color="auto" w:fill="FFFFFF"/>
        </w:rPr>
        <w:t xml:space="preserve"> as a </w:t>
      </w:r>
      <w:r w:rsidRPr="00767481">
        <w:rPr>
          <w:rFonts w:eastAsia="Times New Roman" w:cstheme="minorHAnsi"/>
          <w:color w:val="151515"/>
          <w:shd w:val="clear" w:color="auto" w:fill="FFFFFF"/>
        </w:rPr>
        <w:t>hormone disruptor</w:t>
      </w:r>
      <w:r w:rsidR="000E486B" w:rsidRPr="00767481">
        <w:rPr>
          <w:rFonts w:eastAsia="Times New Roman" w:cstheme="minorHAnsi"/>
          <w:color w:val="151515"/>
          <w:shd w:val="clear" w:color="auto" w:fill="FFFFFF"/>
        </w:rPr>
        <w:t>, cytotoxin, reproductive toxin, and genotoxin,</w:t>
      </w:r>
      <w:r w:rsidRPr="00767481">
        <w:rPr>
          <w:rFonts w:eastAsia="Times New Roman" w:cstheme="minorHAnsi"/>
          <w:color w:val="151515"/>
          <w:shd w:val="clear" w:color="auto" w:fill="FFFFFF"/>
        </w:rPr>
        <w:t xml:space="preserve"> caus</w:t>
      </w:r>
      <w:r w:rsidR="000E486B" w:rsidRPr="00767481">
        <w:rPr>
          <w:rFonts w:eastAsia="Times New Roman" w:cstheme="minorHAnsi"/>
          <w:color w:val="151515"/>
          <w:shd w:val="clear" w:color="auto" w:fill="FFFFFF"/>
        </w:rPr>
        <w:t>ing</w:t>
      </w:r>
      <w:r w:rsidRPr="00767481">
        <w:rPr>
          <w:rFonts w:eastAsia="Times New Roman" w:cstheme="minorHAnsi"/>
          <w:color w:val="151515"/>
          <w:shd w:val="clear" w:color="auto" w:fill="FFFFFF"/>
        </w:rPr>
        <w:t xml:space="preserve"> plant death from uncontrolled, irregular growth.</w:t>
      </w:r>
      <w:r w:rsidR="000E486B" w:rsidRPr="00767481">
        <w:rPr>
          <w:rFonts w:eastAsia="Times New Roman" w:cstheme="minorHAnsi"/>
          <w:color w:val="151515"/>
          <w:shd w:val="clear" w:color="auto" w:fill="FFFFFF"/>
        </w:rPr>
        <w:t xml:space="preserve"> Its action as a hormone, </w:t>
      </w:r>
      <w:proofErr w:type="gramStart"/>
      <w:r w:rsidR="000E486B" w:rsidRPr="00767481">
        <w:rPr>
          <w:rFonts w:eastAsia="Times New Roman" w:cstheme="minorHAnsi"/>
          <w:color w:val="151515"/>
          <w:shd w:val="clear" w:color="auto" w:fill="FFFFFF"/>
        </w:rPr>
        <w:t>i.e.</w:t>
      </w:r>
      <w:proofErr w:type="gramEnd"/>
      <w:r w:rsidR="000E486B" w:rsidRPr="00767481">
        <w:rPr>
          <w:rFonts w:eastAsia="Times New Roman" w:cstheme="minorHAnsi"/>
          <w:color w:val="151515"/>
          <w:shd w:val="clear" w:color="auto" w:fill="FFFFFF"/>
        </w:rPr>
        <w:t xml:space="preserve"> endocrine disruptor, </w:t>
      </w:r>
      <w:r w:rsidR="00496E76">
        <w:rPr>
          <w:rFonts w:eastAsia="Times New Roman" w:cstheme="minorHAnsi"/>
          <w:color w:val="151515"/>
          <w:shd w:val="clear" w:color="auto" w:fill="FFFFFF"/>
        </w:rPr>
        <w:t xml:space="preserve">(EDC) </w:t>
      </w:r>
      <w:r w:rsidR="000E486B" w:rsidRPr="00767481">
        <w:rPr>
          <w:rFonts w:eastAsia="Times New Roman" w:cstheme="minorHAnsi"/>
          <w:color w:val="151515"/>
          <w:shd w:val="clear" w:color="auto" w:fill="FFFFFF"/>
        </w:rPr>
        <w:t>makes it also a human health threat at low doses.</w:t>
      </w:r>
      <w:r w:rsidR="00BE6474" w:rsidRPr="00767481">
        <w:rPr>
          <w:rFonts w:eastAsia="Times New Roman" w:cstheme="minorHAnsi"/>
          <w:color w:val="151515"/>
          <w:shd w:val="clear" w:color="auto" w:fill="FFFFFF"/>
        </w:rPr>
        <w:t xml:space="preserve">  </w:t>
      </w:r>
    </w:p>
    <w:p w14:paraId="2CEA878B" w14:textId="77777777" w:rsidR="00D348B5" w:rsidRPr="00767481" w:rsidRDefault="00D348B5" w:rsidP="00FA65D1">
      <w:pPr>
        <w:rPr>
          <w:rFonts w:eastAsia="Times New Roman" w:cstheme="minorHAnsi"/>
          <w:color w:val="151515"/>
          <w:shd w:val="clear" w:color="auto" w:fill="FFFFFF"/>
        </w:rPr>
      </w:pPr>
    </w:p>
    <w:p w14:paraId="691C5103" w14:textId="77777777" w:rsidR="001D5121" w:rsidRPr="00767481" w:rsidRDefault="000055F3" w:rsidP="00FA65D1">
      <w:pPr>
        <w:rPr>
          <w:rFonts w:eastAsia="Times New Roman" w:cstheme="minorHAnsi"/>
          <w:color w:val="151515"/>
          <w:shd w:val="clear" w:color="auto" w:fill="FFFFFF"/>
        </w:rPr>
      </w:pPr>
      <w:r w:rsidRPr="00767481">
        <w:rPr>
          <w:rFonts w:eastAsia="Times New Roman" w:cstheme="minorHAnsi"/>
          <w:color w:val="151515"/>
          <w:shd w:val="clear" w:color="auto" w:fill="FFFFFF"/>
        </w:rPr>
        <w:t>EDCs come from many different sources and people are exposed in several ways, including</w:t>
      </w:r>
      <w:r w:rsidRPr="00767481">
        <w:rPr>
          <w:rFonts w:eastAsia="Times New Roman" w:cstheme="minorHAnsi"/>
          <w:color w:val="151515"/>
          <w:shd w:val="clear" w:color="auto" w:fill="FFFFFF"/>
        </w:rPr>
        <w:t xml:space="preserve"> through inhalation</w:t>
      </w:r>
      <w:r w:rsidRPr="00767481">
        <w:rPr>
          <w:rFonts w:eastAsia="Times New Roman" w:cstheme="minorHAnsi"/>
          <w:color w:val="151515"/>
          <w:shd w:val="clear" w:color="auto" w:fill="FFFFFF"/>
        </w:rPr>
        <w:t xml:space="preserve">, </w:t>
      </w:r>
      <w:r w:rsidRPr="00767481">
        <w:rPr>
          <w:rFonts w:eastAsia="Times New Roman" w:cstheme="minorHAnsi"/>
          <w:color w:val="151515"/>
          <w:shd w:val="clear" w:color="auto" w:fill="FFFFFF"/>
        </w:rPr>
        <w:t>food ingestion</w:t>
      </w:r>
      <w:r w:rsidRPr="00767481">
        <w:rPr>
          <w:rFonts w:eastAsia="Times New Roman" w:cstheme="minorHAnsi"/>
          <w:color w:val="151515"/>
          <w:shd w:val="clear" w:color="auto" w:fill="FFFFFF"/>
        </w:rPr>
        <w:t xml:space="preserve">, water </w:t>
      </w:r>
      <w:r w:rsidRPr="00767481">
        <w:rPr>
          <w:rFonts w:eastAsia="Times New Roman" w:cstheme="minorHAnsi"/>
          <w:color w:val="151515"/>
          <w:shd w:val="clear" w:color="auto" w:fill="FFFFFF"/>
        </w:rPr>
        <w:t>consumption</w:t>
      </w:r>
      <w:r w:rsidR="001D5121" w:rsidRPr="00767481">
        <w:rPr>
          <w:rFonts w:eastAsia="Times New Roman" w:cstheme="minorHAnsi"/>
          <w:color w:val="151515"/>
          <w:shd w:val="clear" w:color="auto" w:fill="FFFFFF"/>
        </w:rPr>
        <w:t xml:space="preserve">, and </w:t>
      </w:r>
      <w:r w:rsidRPr="00767481">
        <w:rPr>
          <w:rFonts w:eastAsia="Times New Roman" w:cstheme="minorHAnsi"/>
          <w:color w:val="151515"/>
          <w:shd w:val="clear" w:color="auto" w:fill="FFFFFF"/>
        </w:rPr>
        <w:t>skin</w:t>
      </w:r>
      <w:r w:rsidRPr="00767481">
        <w:rPr>
          <w:rFonts w:eastAsia="Times New Roman" w:cstheme="minorHAnsi"/>
          <w:color w:val="151515"/>
          <w:shd w:val="clear" w:color="auto" w:fill="FFFFFF"/>
        </w:rPr>
        <w:t xml:space="preserve"> absorption. </w:t>
      </w:r>
      <w:r w:rsidR="00BE6474" w:rsidRPr="00767481">
        <w:rPr>
          <w:rFonts w:eastAsia="Times New Roman" w:cstheme="minorHAnsi"/>
          <w:color w:val="151515"/>
          <w:shd w:val="clear" w:color="auto" w:fill="FFFFFF"/>
        </w:rPr>
        <w:t xml:space="preserve">EDCs can </w:t>
      </w:r>
      <w:r w:rsidR="00D348B5" w:rsidRPr="00767481">
        <w:rPr>
          <w:rFonts w:eastAsia="Times New Roman" w:cstheme="minorHAnsi"/>
          <w:color w:val="151515"/>
          <w:shd w:val="clear" w:color="auto" w:fill="FFFFFF"/>
        </w:rPr>
        <w:t>augment and/or antagonize</w:t>
      </w:r>
      <w:r w:rsidR="00BE6474" w:rsidRPr="00767481">
        <w:rPr>
          <w:rFonts w:eastAsia="Times New Roman" w:cstheme="minorHAnsi"/>
          <w:color w:val="151515"/>
          <w:shd w:val="clear" w:color="auto" w:fill="FFFFFF"/>
        </w:rPr>
        <w:t xml:space="preserve"> many different </w:t>
      </w:r>
      <w:r w:rsidRPr="00767481">
        <w:rPr>
          <w:rFonts w:eastAsia="Times New Roman" w:cstheme="minorHAnsi"/>
          <w:color w:val="151515"/>
          <w:shd w:val="clear" w:color="auto" w:fill="FFFFFF"/>
        </w:rPr>
        <w:t xml:space="preserve">endogenous </w:t>
      </w:r>
      <w:r w:rsidR="00BE6474" w:rsidRPr="00767481">
        <w:rPr>
          <w:rFonts w:eastAsia="Times New Roman" w:cstheme="minorHAnsi"/>
          <w:color w:val="151515"/>
          <w:shd w:val="clear" w:color="auto" w:fill="FFFFFF"/>
        </w:rPr>
        <w:t xml:space="preserve">hormones, </w:t>
      </w:r>
      <w:r w:rsidRPr="00767481">
        <w:rPr>
          <w:rFonts w:eastAsia="Times New Roman" w:cstheme="minorHAnsi"/>
          <w:color w:val="151515"/>
          <w:shd w:val="clear" w:color="auto" w:fill="FFFFFF"/>
        </w:rPr>
        <w:t xml:space="preserve">and like those hormones, </w:t>
      </w:r>
      <w:r w:rsidR="00225287" w:rsidRPr="00767481">
        <w:rPr>
          <w:rFonts w:eastAsia="Times New Roman" w:cstheme="minorHAnsi"/>
          <w:color w:val="151515"/>
          <w:shd w:val="clear" w:color="auto" w:fill="FFFFFF"/>
        </w:rPr>
        <w:t>can be</w:t>
      </w:r>
      <w:r w:rsidRPr="00767481">
        <w:rPr>
          <w:rFonts w:eastAsia="Times New Roman" w:cstheme="minorHAnsi"/>
          <w:color w:val="151515"/>
          <w:shd w:val="clear" w:color="auto" w:fill="FFFFFF"/>
        </w:rPr>
        <w:t xml:space="preserve"> active at extremely small doses.</w:t>
      </w:r>
      <w:r w:rsidR="00225287" w:rsidRPr="00767481">
        <w:rPr>
          <w:rFonts w:eastAsia="Times New Roman" w:cstheme="minorHAnsi"/>
          <w:color w:val="151515"/>
          <w:shd w:val="clear" w:color="auto" w:fill="FFFFFF"/>
        </w:rPr>
        <w:t xml:space="preserve"> Complicating the issue further, the relationship between dose and health effect is not always linear, and that means in some cases very small exposure doses can have greater adverse effect than higher doses.</w:t>
      </w:r>
    </w:p>
    <w:p w14:paraId="490A71F7" w14:textId="77777777" w:rsidR="001D5121" w:rsidRPr="00767481" w:rsidRDefault="001D5121" w:rsidP="00FA65D1">
      <w:pPr>
        <w:rPr>
          <w:rFonts w:eastAsia="Times New Roman" w:cstheme="minorHAnsi"/>
          <w:color w:val="151515"/>
          <w:shd w:val="clear" w:color="auto" w:fill="FFFFFF"/>
        </w:rPr>
      </w:pPr>
    </w:p>
    <w:p w14:paraId="311A495A" w14:textId="494805D2" w:rsidR="00D348B5" w:rsidRPr="00767481" w:rsidRDefault="00225287" w:rsidP="00D348B5">
      <w:pPr>
        <w:rPr>
          <w:rFonts w:eastAsia="Times New Roman" w:cstheme="minorHAnsi"/>
          <w:color w:val="151515"/>
          <w:shd w:val="clear" w:color="auto" w:fill="FFFFFF"/>
        </w:rPr>
      </w:pPr>
      <w:r w:rsidRPr="00767481">
        <w:rPr>
          <w:rFonts w:eastAsia="Times New Roman" w:cstheme="minorHAnsi"/>
          <w:color w:val="151515"/>
          <w:shd w:val="clear" w:color="auto" w:fill="FFFFFF"/>
        </w:rPr>
        <w:t>These are just some of the reasons EDCs</w:t>
      </w:r>
      <w:r w:rsidR="00BE6474" w:rsidRPr="00767481">
        <w:rPr>
          <w:rFonts w:eastAsia="Times New Roman" w:cstheme="minorHAnsi"/>
          <w:color w:val="151515"/>
          <w:shd w:val="clear" w:color="auto" w:fill="FFFFFF"/>
        </w:rPr>
        <w:t xml:space="preserve"> have been linked to numerous adverse human health</w:t>
      </w:r>
      <w:r w:rsidRPr="00767481">
        <w:rPr>
          <w:rFonts w:eastAsia="Times New Roman" w:cstheme="minorHAnsi"/>
          <w:color w:val="151515"/>
          <w:shd w:val="clear" w:color="auto" w:fill="FFFFFF"/>
        </w:rPr>
        <w:t xml:space="preserve"> effects.</w:t>
      </w:r>
      <w:r w:rsidR="00BE6474" w:rsidRPr="00767481">
        <w:rPr>
          <w:rFonts w:eastAsia="Times New Roman" w:cstheme="minorHAnsi"/>
          <w:color w:val="151515"/>
          <w:shd w:val="clear" w:color="auto" w:fill="FFFFFF"/>
        </w:rPr>
        <w:t xml:space="preserve"> </w:t>
      </w:r>
      <w:r w:rsidRPr="00767481">
        <w:rPr>
          <w:rFonts w:eastAsia="Times New Roman" w:cstheme="minorHAnsi"/>
          <w:color w:val="151515"/>
          <w:shd w:val="clear" w:color="auto" w:fill="FFFFFF"/>
        </w:rPr>
        <w:t xml:space="preserve">  Those o</w:t>
      </w:r>
      <w:r w:rsidR="00BE6474" w:rsidRPr="00767481">
        <w:rPr>
          <w:rFonts w:eastAsia="Times New Roman" w:cstheme="minorHAnsi"/>
          <w:color w:val="151515"/>
          <w:shd w:val="clear" w:color="auto" w:fill="FFFFFF"/>
        </w:rPr>
        <w:t>utcomes including alterations in sperm quality and fertility, abnormalities in sex organs, endometriosis, early puberty, altered nervous system function, immune function, certain cancers, respiratory problems, metabolic issues, diabetes, obesity, cardiovascular problems, growth, neurological and learning disabilities, and more.</w:t>
      </w:r>
      <w:r w:rsidR="001D5121" w:rsidRPr="00767481">
        <w:rPr>
          <w:rFonts w:eastAsia="Times New Roman" w:cstheme="minorHAnsi"/>
          <w:color w:val="151515"/>
          <w:shd w:val="clear" w:color="auto" w:fill="FFFFFF"/>
        </w:rPr>
        <w:t xml:space="preserve"> </w:t>
      </w:r>
      <w:r w:rsidR="00D348B5" w:rsidRPr="00767481">
        <w:rPr>
          <w:rFonts w:eastAsia="Times New Roman" w:cstheme="minorHAnsi"/>
          <w:color w:val="151515"/>
          <w:shd w:val="clear" w:color="auto" w:fill="FFFFFF"/>
        </w:rPr>
        <w:t>It has also been shown to cause organ damage in mammals.</w:t>
      </w:r>
      <w:r w:rsidR="00D348B5" w:rsidRPr="00767481">
        <w:rPr>
          <w:rFonts w:eastAsia="Times New Roman" w:cstheme="minorHAnsi"/>
          <w:color w:val="151515"/>
          <w:shd w:val="clear" w:color="auto" w:fill="FFFFFF"/>
          <w:vertAlign w:val="superscript"/>
        </w:rPr>
        <w:t xml:space="preserve">3,4,5  </w:t>
      </w:r>
      <w:r w:rsidR="00D348B5" w:rsidRPr="00767481">
        <w:rPr>
          <w:rFonts w:eastAsia="Times New Roman" w:cstheme="minorHAnsi"/>
          <w:color w:val="151515"/>
          <w:shd w:val="clear" w:color="auto" w:fill="FFFFFF"/>
        </w:rPr>
        <w:t>It has been associated with an increased risk of liver and bile duct cancer and chronic lymphocytic leukemia in agriculture workers.</w:t>
      </w:r>
      <w:r w:rsidR="00D348B5" w:rsidRPr="00767481">
        <w:rPr>
          <w:rFonts w:eastAsia="Times New Roman" w:cstheme="minorHAnsi"/>
          <w:color w:val="151515"/>
          <w:shd w:val="clear" w:color="auto" w:fill="FFFFFF"/>
          <w:vertAlign w:val="superscript"/>
        </w:rPr>
        <w:t>6</w:t>
      </w:r>
    </w:p>
    <w:p w14:paraId="197EE7D2" w14:textId="77777777" w:rsidR="00FA65D1" w:rsidRPr="00767481" w:rsidRDefault="00FA65D1" w:rsidP="00FA65D1">
      <w:pPr>
        <w:rPr>
          <w:rFonts w:eastAsia="Times New Roman" w:cstheme="minorHAnsi"/>
          <w:color w:val="151515"/>
          <w:sz w:val="30"/>
          <w:szCs w:val="30"/>
          <w:shd w:val="clear" w:color="auto" w:fill="FFFFFF"/>
        </w:rPr>
      </w:pPr>
    </w:p>
    <w:p w14:paraId="0B39C584" w14:textId="7C6E7245" w:rsidR="00FA65D1" w:rsidRPr="00767481" w:rsidRDefault="00AC49A0" w:rsidP="005F7220">
      <w:pPr>
        <w:spacing w:after="100" w:afterAutospacing="1" w:line="330" w:lineRule="atLeast"/>
        <w:rPr>
          <w:rFonts w:eastAsia="Times New Roman" w:cstheme="minorHAnsi"/>
          <w:color w:val="000000"/>
          <w:shd w:val="clear" w:color="auto" w:fill="FFFFFF"/>
        </w:rPr>
      </w:pPr>
      <w:r w:rsidRPr="00AC49A0">
        <w:rPr>
          <w:rFonts w:eastAsia="Times New Roman" w:cstheme="minorHAnsi"/>
          <w:color w:val="000000"/>
        </w:rPr>
        <w:t xml:space="preserve">One of the reasons for </w:t>
      </w:r>
      <w:r w:rsidR="005F7220" w:rsidRPr="00767481">
        <w:rPr>
          <w:rFonts w:eastAsia="Times New Roman" w:cstheme="minorHAnsi"/>
          <w:color w:val="000000"/>
        </w:rPr>
        <w:t>dicamba’s</w:t>
      </w:r>
      <w:r w:rsidRPr="00AC49A0">
        <w:rPr>
          <w:rFonts w:eastAsia="Times New Roman" w:cstheme="minorHAnsi"/>
          <w:color w:val="000000"/>
        </w:rPr>
        <w:t xml:space="preserve"> destructive potential is that dicamba formulations are notoriously drift prone</w:t>
      </w:r>
      <w:r w:rsidR="00FA65D1" w:rsidRPr="00767481">
        <w:rPr>
          <w:rFonts w:eastAsia="Times New Roman" w:cstheme="minorHAnsi"/>
          <w:color w:val="000000"/>
        </w:rPr>
        <w:t>.</w:t>
      </w:r>
      <w:r w:rsidR="00FA65D1" w:rsidRPr="00767481">
        <w:rPr>
          <w:rFonts w:cstheme="minorHAnsi"/>
        </w:rPr>
        <w:t xml:space="preserve"> </w:t>
      </w:r>
      <w:r w:rsidR="00C65A23" w:rsidRPr="00C65A23">
        <w:rPr>
          <w:rFonts w:eastAsia="Times New Roman" w:cstheme="minorHAnsi"/>
          <w:color w:val="404040"/>
          <w:shd w:val="clear" w:color="auto" w:fill="FFFFFF"/>
        </w:rPr>
        <w:t xml:space="preserve">It can </w:t>
      </w:r>
      <w:r w:rsidR="00FA65D1" w:rsidRPr="00767481">
        <w:rPr>
          <w:rFonts w:eastAsia="Times New Roman" w:cstheme="minorHAnsi"/>
          <w:color w:val="404040"/>
          <w:shd w:val="clear" w:color="auto" w:fill="FFFFFF"/>
        </w:rPr>
        <w:t>remain</w:t>
      </w:r>
      <w:r w:rsidR="00C65A23" w:rsidRPr="00C65A23">
        <w:rPr>
          <w:rFonts w:eastAsia="Times New Roman" w:cstheme="minorHAnsi"/>
          <w:color w:val="404040"/>
          <w:shd w:val="clear" w:color="auto" w:fill="FFFFFF"/>
        </w:rPr>
        <w:t xml:space="preserve"> airborne days after it’s sprayed and drift for miles.</w:t>
      </w:r>
      <w:r w:rsidR="00FA65D1" w:rsidRPr="00767481">
        <w:rPr>
          <w:rFonts w:cstheme="minorHAnsi"/>
        </w:rPr>
        <w:t xml:space="preserve"> </w:t>
      </w:r>
      <w:r w:rsidR="00F369EC" w:rsidRPr="00F369EC">
        <w:rPr>
          <w:rFonts w:eastAsia="Times New Roman" w:cstheme="minorHAnsi"/>
          <w:color w:val="404040"/>
          <w:shd w:val="clear" w:color="auto" w:fill="FFFFFF"/>
        </w:rPr>
        <w:t>The damage</w:t>
      </w:r>
      <w:r w:rsidR="00FA65D1" w:rsidRPr="00767481">
        <w:rPr>
          <w:rFonts w:eastAsia="Times New Roman" w:cstheme="minorHAnsi"/>
          <w:color w:val="404040"/>
          <w:shd w:val="clear" w:color="auto" w:fill="FFFFFF"/>
        </w:rPr>
        <w:t xml:space="preserve"> it causes </w:t>
      </w:r>
      <w:r w:rsidR="005F7220" w:rsidRPr="00767481">
        <w:rPr>
          <w:rFonts w:eastAsia="Times New Roman" w:cstheme="minorHAnsi"/>
          <w:color w:val="404040"/>
          <w:shd w:val="clear" w:color="auto" w:fill="FFFFFF"/>
        </w:rPr>
        <w:t>has been found to</w:t>
      </w:r>
      <w:r w:rsidR="00F369EC" w:rsidRPr="00F369EC">
        <w:rPr>
          <w:rFonts w:eastAsia="Times New Roman" w:cstheme="minorHAnsi"/>
          <w:color w:val="404040"/>
          <w:shd w:val="clear" w:color="auto" w:fill="FFFFFF"/>
        </w:rPr>
        <w:t xml:space="preserve"> reach up to 20 miles from the nearest treated field.</w:t>
      </w:r>
      <w:r w:rsidR="00FA65D1" w:rsidRPr="00767481">
        <w:rPr>
          <w:rFonts w:eastAsia="Times New Roman" w:cstheme="minorHAnsi"/>
          <w:color w:val="404040"/>
          <w:shd w:val="clear" w:color="auto" w:fill="FFFFFF"/>
        </w:rPr>
        <w:t xml:space="preserve"> </w:t>
      </w:r>
      <w:r w:rsidR="0067142B" w:rsidRPr="00767481">
        <w:rPr>
          <w:rFonts w:eastAsia="Times New Roman" w:cstheme="minorHAnsi"/>
          <w:color w:val="404040"/>
          <w:shd w:val="clear" w:color="auto" w:fill="FFFFFF"/>
        </w:rPr>
        <w:t>It has injured at least 5 million acres of soybeans</w:t>
      </w:r>
      <w:r w:rsidR="0067142B" w:rsidRPr="00767481">
        <w:rPr>
          <w:rFonts w:eastAsia="Times New Roman" w:cstheme="minorHAnsi"/>
          <w:color w:val="404040"/>
          <w:shd w:val="clear" w:color="auto" w:fill="FFFFFF"/>
        </w:rPr>
        <w:t>,</w:t>
      </w:r>
      <w:r w:rsidR="0067142B" w:rsidRPr="00767481">
        <w:rPr>
          <w:rFonts w:eastAsia="Times New Roman" w:cstheme="minorHAnsi"/>
          <w:color w:val="404040"/>
          <w:shd w:val="clear" w:color="auto" w:fill="FFFFFF"/>
        </w:rPr>
        <w:t xml:space="preserve"> decimated fruit orchards,</w:t>
      </w:r>
      <w:r w:rsidR="0067142B" w:rsidRPr="00767481">
        <w:rPr>
          <w:rFonts w:eastAsia="Times New Roman" w:cstheme="minorHAnsi"/>
          <w:color w:val="404040"/>
          <w:shd w:val="clear" w:color="auto" w:fill="FFFFFF"/>
          <w:vertAlign w:val="superscript"/>
        </w:rPr>
        <w:t>7</w:t>
      </w:r>
      <w:r w:rsidR="0067142B" w:rsidRPr="00767481">
        <w:rPr>
          <w:rFonts w:eastAsia="Times New Roman" w:cstheme="minorHAnsi"/>
          <w:color w:val="404040"/>
          <w:shd w:val="clear" w:color="auto" w:fill="FFFFFF"/>
        </w:rPr>
        <w:t xml:space="preserve"> vegetable farms</w:t>
      </w:r>
      <w:r w:rsidR="00423F12" w:rsidRPr="00767481">
        <w:rPr>
          <w:rFonts w:eastAsia="Times New Roman" w:cstheme="minorHAnsi"/>
          <w:color w:val="404040"/>
          <w:shd w:val="clear" w:color="auto" w:fill="FFFFFF"/>
        </w:rPr>
        <w:t>,</w:t>
      </w:r>
      <w:r w:rsidR="0067142B" w:rsidRPr="00767481">
        <w:rPr>
          <w:rFonts w:eastAsia="Times New Roman" w:cstheme="minorHAnsi"/>
          <w:color w:val="404040"/>
          <w:shd w:val="clear" w:color="auto" w:fill="FFFFFF"/>
          <w:vertAlign w:val="superscript"/>
        </w:rPr>
        <w:t>8</w:t>
      </w:r>
      <w:r w:rsidR="0067142B" w:rsidRPr="00767481">
        <w:rPr>
          <w:rFonts w:eastAsia="Times New Roman" w:cstheme="minorHAnsi"/>
          <w:color w:val="404040"/>
          <w:shd w:val="clear" w:color="auto" w:fill="FFFFFF"/>
        </w:rPr>
        <w:t xml:space="preserve"> and damaged trees,</w:t>
      </w:r>
      <w:r w:rsidR="0067142B" w:rsidRPr="00767481">
        <w:rPr>
          <w:rFonts w:eastAsia="Times New Roman" w:cstheme="minorHAnsi"/>
          <w:color w:val="404040"/>
          <w:shd w:val="clear" w:color="auto" w:fill="FFFFFF"/>
          <w:vertAlign w:val="superscript"/>
        </w:rPr>
        <w:t>9</w:t>
      </w:r>
      <w:r w:rsidR="0067142B" w:rsidRPr="00767481">
        <w:rPr>
          <w:rFonts w:eastAsia="Times New Roman" w:cstheme="minorHAnsi"/>
          <w:color w:val="404040"/>
          <w:shd w:val="clear" w:color="auto" w:fill="FFFFFF"/>
        </w:rPr>
        <w:t xml:space="preserve"> backyard gardens, and natural areas</w:t>
      </w:r>
      <w:r w:rsidR="0067142B" w:rsidRPr="00767481">
        <w:rPr>
          <w:rFonts w:eastAsia="Times New Roman" w:cstheme="minorHAnsi"/>
          <w:color w:val="404040"/>
          <w:shd w:val="clear" w:color="auto" w:fill="FFFFFF"/>
          <w:vertAlign w:val="superscript"/>
        </w:rPr>
        <w:t>10</w:t>
      </w:r>
      <w:r w:rsidR="0067142B" w:rsidRPr="00767481">
        <w:rPr>
          <w:rFonts w:eastAsia="Times New Roman" w:cstheme="minorHAnsi"/>
          <w:color w:val="404040"/>
          <w:shd w:val="clear" w:color="auto" w:fill="FFFFFF"/>
        </w:rPr>
        <w:t xml:space="preserve"> throughout much of rural America.</w:t>
      </w:r>
      <w:r w:rsidR="0067142B" w:rsidRPr="00767481">
        <w:rPr>
          <w:rFonts w:eastAsia="Times New Roman" w:cstheme="minorHAnsi"/>
          <w:color w:val="404040"/>
          <w:shd w:val="clear" w:color="auto" w:fill="FFFFFF"/>
        </w:rPr>
        <w:t xml:space="preserve"> </w:t>
      </w:r>
      <w:r w:rsidR="00FA65D1" w:rsidRPr="00767481">
        <w:rPr>
          <w:rFonts w:cstheme="minorHAnsi"/>
        </w:rPr>
        <w:t>D</w:t>
      </w:r>
      <w:r w:rsidR="00FA65D1" w:rsidRPr="00C65A23">
        <w:rPr>
          <w:rFonts w:eastAsia="Times New Roman" w:cstheme="minorHAnsi"/>
          <w:color w:val="000000"/>
          <w:shd w:val="clear" w:color="auto" w:fill="FFFFFF"/>
        </w:rPr>
        <w:t>icamba formulations become even </w:t>
      </w:r>
      <w:r w:rsidR="00423F12" w:rsidRPr="00767481">
        <w:rPr>
          <w:rFonts w:eastAsia="Times New Roman" w:cstheme="minorHAnsi"/>
          <w:color w:val="000000"/>
          <w:bdr w:val="none" w:sz="0" w:space="0" w:color="auto" w:frame="1"/>
        </w:rPr>
        <w:t>more</w:t>
      </w:r>
      <w:r w:rsidR="00FA65D1" w:rsidRPr="00C65A23">
        <w:rPr>
          <w:rFonts w:eastAsia="Times New Roman" w:cstheme="minorHAnsi"/>
          <w:color w:val="000000"/>
          <w:shd w:val="clear" w:color="auto" w:fill="FFFFFF"/>
        </w:rPr>
        <w:t> volatile and drift-prone in hot conditions</w:t>
      </w:r>
      <w:r w:rsidR="00FA65D1" w:rsidRPr="00767481">
        <w:rPr>
          <w:rFonts w:eastAsia="Times New Roman" w:cstheme="minorHAnsi"/>
          <w:color w:val="000000"/>
          <w:shd w:val="clear" w:color="auto" w:fill="FFFFFF"/>
        </w:rPr>
        <w:t>.</w:t>
      </w:r>
    </w:p>
    <w:p w14:paraId="23A2B19F" w14:textId="797464DC" w:rsidR="00994078" w:rsidRPr="00767481" w:rsidRDefault="000D1D07" w:rsidP="005F7220">
      <w:pPr>
        <w:spacing w:after="100" w:afterAutospacing="1" w:line="330" w:lineRule="atLeast"/>
        <w:rPr>
          <w:rFonts w:eastAsia="Times New Roman" w:cstheme="minorHAnsi"/>
          <w:color w:val="000000"/>
          <w:shd w:val="clear" w:color="auto" w:fill="FFFFFF"/>
        </w:rPr>
      </w:pPr>
      <w:r w:rsidRPr="00767481">
        <w:rPr>
          <w:rFonts w:eastAsia="Times New Roman" w:cstheme="minorHAnsi"/>
          <w:color w:val="000000"/>
          <w:shd w:val="clear" w:color="auto" w:fill="FFFFFF"/>
        </w:rPr>
        <w:t>Last year</w:t>
      </w:r>
      <w:r w:rsidR="00785E90" w:rsidRPr="00767481">
        <w:rPr>
          <w:rFonts w:eastAsia="Times New Roman" w:cstheme="minorHAnsi"/>
          <w:color w:val="000000"/>
          <w:shd w:val="clear" w:color="auto" w:fill="FFFFFF"/>
        </w:rPr>
        <w:t>,</w:t>
      </w:r>
      <w:r w:rsidRPr="00767481">
        <w:rPr>
          <w:rFonts w:eastAsia="Times New Roman" w:cstheme="minorHAnsi"/>
          <w:color w:val="000000"/>
          <w:shd w:val="clear" w:color="auto" w:fill="FFFFFF"/>
        </w:rPr>
        <w:t xml:space="preserve"> EPA released a </w:t>
      </w:r>
      <w:r w:rsidR="00423F12" w:rsidRPr="00767481">
        <w:rPr>
          <w:rFonts w:eastAsia="Times New Roman" w:cstheme="minorHAnsi"/>
          <w:color w:val="000000"/>
          <w:shd w:val="clear" w:color="auto" w:fill="FFFFFF"/>
        </w:rPr>
        <w:t>report</w:t>
      </w:r>
      <w:r w:rsidR="00423F12" w:rsidRPr="00767481">
        <w:rPr>
          <w:rFonts w:eastAsia="Times New Roman" w:cstheme="minorHAnsi"/>
          <w:color w:val="000000"/>
          <w:shd w:val="clear" w:color="auto" w:fill="FFFFFF"/>
          <w:vertAlign w:val="superscript"/>
        </w:rPr>
        <w:t>11</w:t>
      </w:r>
      <w:r w:rsidRPr="00767481">
        <w:rPr>
          <w:rFonts w:eastAsia="Times New Roman" w:cstheme="minorHAnsi"/>
          <w:color w:val="000000"/>
          <w:shd w:val="clear" w:color="auto" w:fill="FFFFFF"/>
        </w:rPr>
        <w:t xml:space="preserve"> citing evidence that </w:t>
      </w:r>
      <w:r w:rsidR="00994078" w:rsidRPr="00767481">
        <w:rPr>
          <w:rFonts w:eastAsia="Times New Roman" w:cstheme="minorHAnsi"/>
          <w:color w:val="000000"/>
          <w:shd w:val="clear" w:color="auto" w:fill="FFFFFF"/>
        </w:rPr>
        <w:t>Dicamba</w:t>
      </w:r>
      <w:r w:rsidR="00423F12" w:rsidRPr="00767481">
        <w:rPr>
          <w:rFonts w:eastAsia="Times New Roman" w:cstheme="minorHAnsi"/>
          <w:color w:val="000000"/>
          <w:shd w:val="clear" w:color="auto" w:fill="FFFFFF"/>
        </w:rPr>
        <w:t xml:space="preserve"> and its major metabolite, DCSA,</w:t>
      </w:r>
      <w:r w:rsidR="00994078" w:rsidRPr="00767481">
        <w:rPr>
          <w:rFonts w:eastAsia="Times New Roman" w:cstheme="minorHAnsi"/>
          <w:color w:val="000000"/>
          <w:shd w:val="clear" w:color="auto" w:fill="FFFFFF"/>
        </w:rPr>
        <w:t xml:space="preserve"> is a risk to </w:t>
      </w:r>
      <w:r w:rsidRPr="00767481">
        <w:rPr>
          <w:rFonts w:eastAsia="Times New Roman" w:cstheme="minorHAnsi"/>
          <w:color w:val="000000"/>
          <w:shd w:val="clear" w:color="auto" w:fill="FFFFFF"/>
        </w:rPr>
        <w:t xml:space="preserve">pollinators likes bees, </w:t>
      </w:r>
      <w:r w:rsidR="00413980" w:rsidRPr="00767481">
        <w:rPr>
          <w:rFonts w:eastAsia="Times New Roman" w:cstheme="minorHAnsi"/>
          <w:color w:val="000000"/>
          <w:shd w:val="clear" w:color="auto" w:fill="FFFFFF"/>
        </w:rPr>
        <w:t xml:space="preserve">birds, and mammals, </w:t>
      </w:r>
      <w:r w:rsidRPr="00767481">
        <w:rPr>
          <w:rFonts w:eastAsia="Times New Roman" w:cstheme="minorHAnsi"/>
          <w:color w:val="000000"/>
          <w:shd w:val="clear" w:color="auto" w:fill="FFFFFF"/>
        </w:rPr>
        <w:t xml:space="preserve">both because of damage to forage plants and to the </w:t>
      </w:r>
      <w:r w:rsidR="00413980" w:rsidRPr="00767481">
        <w:rPr>
          <w:rFonts w:eastAsia="Times New Roman" w:cstheme="minorHAnsi"/>
          <w:color w:val="000000"/>
          <w:shd w:val="clear" w:color="auto" w:fill="FFFFFF"/>
        </w:rPr>
        <w:t>organisms directly.</w:t>
      </w:r>
    </w:p>
    <w:p w14:paraId="17D560EB" w14:textId="331D7E33" w:rsidR="006A40F5" w:rsidRPr="00767481" w:rsidRDefault="006A40F5" w:rsidP="005F7220">
      <w:pPr>
        <w:spacing w:after="100" w:afterAutospacing="1" w:line="330" w:lineRule="atLeast"/>
        <w:rPr>
          <w:rFonts w:eastAsia="Times New Roman" w:cstheme="minorHAnsi"/>
          <w:color w:val="000000"/>
          <w:shd w:val="clear" w:color="auto" w:fill="FFFFFF"/>
        </w:rPr>
      </w:pPr>
      <w:r w:rsidRPr="00767481">
        <w:rPr>
          <w:rFonts w:eastAsia="Times New Roman" w:cstheme="minorHAnsi"/>
          <w:color w:val="000000"/>
          <w:shd w:val="clear" w:color="auto" w:fill="FFFFFF"/>
        </w:rPr>
        <w:t>“</w:t>
      </w:r>
      <w:r w:rsidR="0084725F" w:rsidRPr="00767481">
        <w:rPr>
          <w:rFonts w:eastAsia="Times New Roman" w:cstheme="minorHAnsi"/>
          <w:color w:val="000000"/>
          <w:shd w:val="clear" w:color="auto" w:fill="FFFFFF"/>
        </w:rPr>
        <w:t>DCSA, a major transformation product, shows greater chronic toxicity than dicamba to some taxa</w:t>
      </w:r>
      <w:r w:rsidR="0084725F" w:rsidRPr="00767481">
        <w:rPr>
          <w:rFonts w:eastAsia="Times New Roman" w:cstheme="minorHAnsi"/>
          <w:color w:val="000000"/>
          <w:shd w:val="clear" w:color="auto" w:fill="FFFFFF"/>
        </w:rPr>
        <w:t>…</w:t>
      </w:r>
      <w:r w:rsidR="0084725F" w:rsidRPr="00767481">
        <w:rPr>
          <w:rFonts w:cstheme="minorHAnsi"/>
        </w:rPr>
        <w:t xml:space="preserve"> </w:t>
      </w:r>
      <w:r w:rsidR="0084725F" w:rsidRPr="00767481">
        <w:rPr>
          <w:rFonts w:eastAsia="Times New Roman" w:cstheme="minorHAnsi"/>
          <w:color w:val="000000"/>
          <w:shd w:val="clear" w:color="auto" w:fill="FFFFFF"/>
        </w:rPr>
        <w:t>DCSA is more toxic than dicamba on a chronic basis to mammals and fish</w:t>
      </w:r>
      <w:r w:rsidR="0084725F" w:rsidRPr="00767481">
        <w:rPr>
          <w:rFonts w:eastAsia="Times New Roman" w:cstheme="minorHAnsi"/>
          <w:color w:val="000000"/>
          <w:shd w:val="clear" w:color="auto" w:fill="FFFFFF"/>
        </w:rPr>
        <w:t>…</w:t>
      </w:r>
      <w:r w:rsidR="0084725F" w:rsidRPr="00767481">
        <w:rPr>
          <w:rFonts w:cstheme="minorHAnsi"/>
        </w:rPr>
        <w:t xml:space="preserve"> </w:t>
      </w:r>
      <w:r w:rsidR="0084725F" w:rsidRPr="00767481">
        <w:rPr>
          <w:rFonts w:eastAsia="Times New Roman" w:cstheme="minorHAnsi"/>
          <w:color w:val="000000"/>
          <w:shd w:val="clear" w:color="auto" w:fill="FFFFFF"/>
        </w:rPr>
        <w:t>Toxicity data are not available for 6-CSA, a</w:t>
      </w:r>
      <w:r w:rsidR="00DC3419" w:rsidRPr="00767481">
        <w:rPr>
          <w:rFonts w:eastAsia="Times New Roman" w:cstheme="minorHAnsi"/>
          <w:color w:val="000000"/>
          <w:shd w:val="clear" w:color="auto" w:fill="FFFFFF"/>
        </w:rPr>
        <w:t>[</w:t>
      </w:r>
      <w:proofErr w:type="spellStart"/>
      <w:r w:rsidR="00DC3419" w:rsidRPr="00767481">
        <w:rPr>
          <w:rFonts w:eastAsia="Times New Roman" w:cstheme="minorHAnsi"/>
          <w:color w:val="000000"/>
          <w:shd w:val="clear" w:color="auto" w:fill="FFFFFF"/>
        </w:rPr>
        <w:t>nother</w:t>
      </w:r>
      <w:proofErr w:type="spellEnd"/>
      <w:r w:rsidR="00DC3419" w:rsidRPr="00767481">
        <w:rPr>
          <w:rFonts w:eastAsia="Times New Roman" w:cstheme="minorHAnsi"/>
          <w:color w:val="000000"/>
          <w:shd w:val="clear" w:color="auto" w:fill="FFFFFF"/>
        </w:rPr>
        <w:t>]</w:t>
      </w:r>
      <w:r w:rsidR="0084725F" w:rsidRPr="00767481">
        <w:rPr>
          <w:rFonts w:eastAsia="Times New Roman" w:cstheme="minorHAnsi"/>
          <w:color w:val="000000"/>
          <w:shd w:val="clear" w:color="auto" w:fill="FFFFFF"/>
        </w:rPr>
        <w:t xml:space="preserve"> major degradation product which is proposed to form from DCSA in aquatic environments. 6-CSA is similar in structure to DCSA; therefore, EPA assumed that it is similar in toxicity to DCSA.</w:t>
      </w:r>
      <w:r w:rsidR="00496E76" w:rsidRPr="00496E76">
        <w:rPr>
          <w:rFonts w:eastAsia="Times New Roman" w:cstheme="minorHAnsi"/>
          <w:color w:val="000000"/>
          <w:shd w:val="clear" w:color="auto" w:fill="FFFFFF"/>
          <w:vertAlign w:val="superscript"/>
        </w:rPr>
        <w:t>11</w:t>
      </w:r>
    </w:p>
    <w:p w14:paraId="082027F5" w14:textId="633E408C" w:rsidR="00B91B01" w:rsidRPr="00767481" w:rsidRDefault="00B91B01" w:rsidP="005F7220">
      <w:pPr>
        <w:spacing w:after="100" w:afterAutospacing="1" w:line="330" w:lineRule="atLeast"/>
        <w:rPr>
          <w:rFonts w:eastAsia="Times New Roman" w:cstheme="minorHAnsi"/>
          <w:color w:val="000000"/>
          <w:shd w:val="clear" w:color="auto" w:fill="FFFFFF"/>
        </w:rPr>
      </w:pPr>
      <w:r w:rsidRPr="00767481">
        <w:rPr>
          <w:rFonts w:eastAsia="Times New Roman" w:cstheme="minorHAnsi"/>
          <w:color w:val="000000"/>
          <w:shd w:val="clear" w:color="auto" w:fill="FFFFFF"/>
        </w:rPr>
        <w:lastRenderedPageBreak/>
        <w:t>“…</w:t>
      </w:r>
      <w:r w:rsidRPr="00767481">
        <w:rPr>
          <w:rFonts w:eastAsia="Times New Roman" w:cstheme="minorHAnsi"/>
          <w:color w:val="000000"/>
          <w:shd w:val="clear" w:color="auto" w:fill="FFFFFF"/>
        </w:rPr>
        <w:t>any dicamba reaching groundwater would be somewhat persistent (due to its relative stability to hydrolysis)</w:t>
      </w:r>
      <w:r w:rsidR="00413980" w:rsidRPr="00767481">
        <w:rPr>
          <w:rFonts w:eastAsia="Times New Roman" w:cstheme="minorHAnsi"/>
          <w:color w:val="000000"/>
          <w:shd w:val="clear" w:color="auto" w:fill="FFFFFF"/>
        </w:rPr>
        <w:t>…</w:t>
      </w:r>
      <w:r w:rsidR="00413980" w:rsidRPr="00767481">
        <w:rPr>
          <w:rFonts w:eastAsia="Times New Roman" w:cstheme="minorHAnsi"/>
          <w:color w:val="000000"/>
          <w:shd w:val="clear" w:color="auto" w:fill="FFFFFF"/>
        </w:rPr>
        <w:t xml:space="preserve"> DCSA may be transported to surface water via run-off or to groundwater via leaching.</w:t>
      </w:r>
      <w:r w:rsidR="00496E76" w:rsidRPr="00496E76">
        <w:rPr>
          <w:rFonts w:eastAsia="Times New Roman" w:cstheme="minorHAnsi"/>
          <w:color w:val="000000"/>
          <w:shd w:val="clear" w:color="auto" w:fill="FFFFFF"/>
          <w:vertAlign w:val="superscript"/>
        </w:rPr>
        <w:t>11</w:t>
      </w:r>
    </w:p>
    <w:p w14:paraId="797F83E5" w14:textId="1FE407DA" w:rsidR="00413980" w:rsidRPr="00767481" w:rsidRDefault="00413980" w:rsidP="005F7220">
      <w:pPr>
        <w:spacing w:after="100" w:afterAutospacing="1" w:line="330" w:lineRule="atLeast"/>
        <w:rPr>
          <w:rFonts w:eastAsia="Times New Roman" w:cstheme="minorHAnsi"/>
          <w:color w:val="000000"/>
          <w:shd w:val="clear" w:color="auto" w:fill="FFFFFF"/>
        </w:rPr>
      </w:pPr>
      <w:r w:rsidRPr="00767481">
        <w:rPr>
          <w:rFonts w:eastAsia="Times New Roman" w:cstheme="minorHAnsi"/>
          <w:color w:val="000000"/>
          <w:shd w:val="clear" w:color="auto" w:fill="FFFFFF"/>
        </w:rPr>
        <w:t>“</w:t>
      </w:r>
      <w:r w:rsidRPr="00767481">
        <w:rPr>
          <w:rFonts w:eastAsia="Times New Roman" w:cstheme="minorHAnsi"/>
          <w:color w:val="000000"/>
          <w:shd w:val="clear" w:color="auto" w:fill="FFFFFF"/>
        </w:rPr>
        <w:t>Chronic effects from dicamba exposure have been shown in mammals (reduced weight and delayed sexual maturation), birds (reduced number of offspring), and honey bees (reduced weight, survival, and adult emergence).</w:t>
      </w:r>
      <w:r w:rsidRPr="00767481">
        <w:rPr>
          <w:rFonts w:eastAsia="Times New Roman" w:cstheme="minorHAnsi"/>
          <w:color w:val="000000"/>
          <w:shd w:val="clear" w:color="auto" w:fill="FFFFFF"/>
        </w:rPr>
        <w:t>”</w:t>
      </w:r>
      <w:r w:rsidR="00496E76" w:rsidRPr="00496E76">
        <w:rPr>
          <w:rFonts w:eastAsia="Times New Roman" w:cstheme="minorHAnsi"/>
          <w:color w:val="000000"/>
          <w:shd w:val="clear" w:color="auto" w:fill="FFFFFF"/>
          <w:vertAlign w:val="superscript"/>
        </w:rPr>
        <w:t>11</w:t>
      </w:r>
    </w:p>
    <w:p w14:paraId="15AB6C96" w14:textId="2F9B6630" w:rsidR="008C1515" w:rsidRPr="00767481" w:rsidRDefault="008C1515" w:rsidP="008C1515">
      <w:pPr>
        <w:spacing w:after="100" w:afterAutospacing="1" w:line="330" w:lineRule="atLeast"/>
        <w:rPr>
          <w:rFonts w:eastAsia="Times New Roman" w:cstheme="minorHAnsi"/>
          <w:color w:val="000000"/>
          <w:shd w:val="clear" w:color="auto" w:fill="FFFFFF"/>
        </w:rPr>
      </w:pPr>
      <w:r w:rsidRPr="00767481">
        <w:rPr>
          <w:rFonts w:eastAsia="Times New Roman" w:cstheme="minorHAnsi"/>
          <w:color w:val="000000"/>
          <w:shd w:val="clear" w:color="auto" w:fill="FFFFFF"/>
        </w:rPr>
        <w:t>EPA was sued by National Family Farm Coalition, Center for Food Safety, Center for Biological Diversity, and Pesticide Action Network in 2017 over approving dicamba.</w:t>
      </w:r>
      <w:r w:rsidRPr="00767481">
        <w:rPr>
          <w:rFonts w:eastAsia="Times New Roman" w:cstheme="minorHAnsi"/>
          <w:color w:val="000000"/>
          <w:shd w:val="clear" w:color="auto" w:fill="FFFFFF"/>
        </w:rPr>
        <w:t xml:space="preserve"> </w:t>
      </w:r>
      <w:r w:rsidRPr="00767481">
        <w:rPr>
          <w:rFonts w:eastAsia="Times New Roman" w:cstheme="minorHAnsi"/>
          <w:color w:val="000000"/>
          <w:shd w:val="clear" w:color="auto" w:fill="FFFFFF"/>
        </w:rPr>
        <w:t>In June 2020, the U.S. Court of Appeals for the Ninth Circuit ruled that EPA unlawfully approved the dicamba products, and required it to conduct a new review. In its 5</w:t>
      </w:r>
      <w:r w:rsidRPr="00767481">
        <w:rPr>
          <w:rFonts w:eastAsia="Times New Roman" w:cstheme="minorHAnsi"/>
          <w:color w:val="000000"/>
          <w:shd w:val="clear" w:color="auto" w:fill="FFFFFF"/>
        </w:rPr>
        <w:t>3</w:t>
      </w:r>
      <w:r w:rsidRPr="00767481">
        <w:rPr>
          <w:rFonts w:eastAsia="Times New Roman" w:cstheme="minorHAnsi"/>
          <w:color w:val="000000"/>
          <w:shd w:val="clear" w:color="auto" w:fill="FFFFFF"/>
        </w:rPr>
        <w:t>-page decision,</w:t>
      </w:r>
      <w:r w:rsidRPr="00767481">
        <w:rPr>
          <w:rFonts w:eastAsia="Times New Roman" w:cstheme="minorHAnsi"/>
          <w:color w:val="000000"/>
          <w:shd w:val="clear" w:color="auto" w:fill="FFFFFF"/>
          <w:vertAlign w:val="superscript"/>
        </w:rPr>
        <w:t>12</w:t>
      </w:r>
      <w:r w:rsidRPr="00767481">
        <w:rPr>
          <w:rFonts w:eastAsia="Times New Roman" w:cstheme="minorHAnsi"/>
          <w:color w:val="000000"/>
          <w:shd w:val="clear" w:color="auto" w:fill="FFFFFF"/>
        </w:rPr>
        <w:t xml:space="preserve"> the court explained that EPA had failed to account for the "enormous and unprecedented damage" caused by drift of the dicamba products. The court also criticized EPA for putting out complicated usage restrictions, finding them to be so hard to follow that it was essentially impossible for farmers to properly apply the products. </w:t>
      </w:r>
      <w:r w:rsidR="00001F99" w:rsidRPr="00767481">
        <w:rPr>
          <w:rFonts w:eastAsia="Times New Roman" w:cstheme="minorHAnsi"/>
          <w:color w:val="000000"/>
          <w:shd w:val="clear" w:color="auto" w:fill="FFFFFF"/>
        </w:rPr>
        <w:t>Nonetheless</w:t>
      </w:r>
      <w:r w:rsidRPr="00767481">
        <w:rPr>
          <w:rFonts w:eastAsia="Times New Roman" w:cstheme="minorHAnsi"/>
          <w:color w:val="000000"/>
          <w:shd w:val="clear" w:color="auto" w:fill="FFFFFF"/>
        </w:rPr>
        <w:t>, in late October, the EPA renewed its approval of dicamba, but only for use on cotton and soybeans until 2025.</w:t>
      </w:r>
    </w:p>
    <w:p w14:paraId="134ABBE1" w14:textId="77AC098A" w:rsidR="00D731E8" w:rsidRPr="00D731E8" w:rsidRDefault="00F83049" w:rsidP="00D731E8">
      <w:pPr>
        <w:rPr>
          <w:rFonts w:eastAsia="Times New Roman" w:cstheme="minorHAnsi"/>
        </w:rPr>
      </w:pPr>
      <w:r w:rsidRPr="00767481">
        <w:rPr>
          <w:rFonts w:eastAsia="Times New Roman" w:cstheme="minorHAnsi"/>
        </w:rPr>
        <w:t>In separate actions thousands of farmers have sued Monsanto and BASF for dicamba drift damages.</w:t>
      </w:r>
      <w:r w:rsidR="00001F99" w:rsidRPr="00767481">
        <w:rPr>
          <w:rFonts w:eastAsia="Times New Roman" w:cstheme="minorHAnsi"/>
        </w:rPr>
        <w:t xml:space="preserve"> </w:t>
      </w:r>
      <w:r w:rsidR="00001F99" w:rsidRPr="00767481">
        <w:rPr>
          <w:rFonts w:eastAsia="Times New Roman" w:cstheme="minorHAnsi"/>
        </w:rPr>
        <w:t>CBD, Environment America, and Center for Food Safety have asked that its registration be withdrawn.</w:t>
      </w:r>
      <w:r w:rsidR="00001F99" w:rsidRPr="00767481">
        <w:rPr>
          <w:rFonts w:eastAsia="Times New Roman" w:cstheme="minorHAnsi"/>
        </w:rPr>
        <w:t xml:space="preserve"> </w:t>
      </w:r>
      <w:r w:rsidR="00D731E8" w:rsidRPr="00D731E8">
        <w:rPr>
          <w:rFonts w:eastAsia="Times New Roman" w:cstheme="minorHAnsi"/>
          <w:color w:val="383838"/>
          <w:shd w:val="clear" w:color="auto" w:fill="FFFFFF"/>
        </w:rPr>
        <w:t>Natural Resources Defense Council have argued in court that excessive dicamba application on soybeans and cotton violates the Endangered Species Act (ESA)</w:t>
      </w:r>
      <w:r w:rsidR="0062328D">
        <w:rPr>
          <w:rFonts w:eastAsia="Times New Roman" w:cstheme="minorHAnsi"/>
          <w:color w:val="383838"/>
          <w:shd w:val="clear" w:color="auto" w:fill="FFFFFF"/>
        </w:rPr>
        <w:t>.</w:t>
      </w:r>
    </w:p>
    <w:p w14:paraId="31AE2788" w14:textId="282917D6" w:rsidR="00D731E8" w:rsidRPr="00767481" w:rsidRDefault="00D731E8" w:rsidP="00D731E8">
      <w:pPr>
        <w:rPr>
          <w:rFonts w:eastAsia="Times New Roman" w:cstheme="minorHAnsi"/>
        </w:rPr>
      </w:pPr>
    </w:p>
    <w:p w14:paraId="5241CAB0" w14:textId="692F140C" w:rsidR="005F7220" w:rsidRDefault="00943EE9" w:rsidP="005F7220">
      <w:pPr>
        <w:rPr>
          <w:rFonts w:cstheme="minorHAnsi"/>
          <w:vertAlign w:val="superscript"/>
        </w:rPr>
      </w:pPr>
      <w:r w:rsidRPr="00767481">
        <w:rPr>
          <w:rFonts w:cstheme="minorHAnsi"/>
        </w:rPr>
        <w:t>"Given EPA-approved versions of dicamba have already damaged millions of U.S. acres of crops and natural areas, there's no reason to trust that the agency got it right this time," said Nathan Donley, a senior scientist at the Center for Biological Diversity. "As the judges who tossed out the EPA's previous approval stated, the agency wrongly dismissed many of dicamba's proven harms. At this point, the EPA has shown such callous indifference to the damage dicamba has caused to farmers and wildlife alike, and has been so desperate to appease the pesticide industry, it has zero credibility when it comes to pesticide safety."</w:t>
      </w:r>
      <w:r w:rsidRPr="00767481">
        <w:rPr>
          <w:rFonts w:cstheme="minorHAnsi"/>
          <w:vertAlign w:val="superscript"/>
        </w:rPr>
        <w:t>13</w:t>
      </w:r>
    </w:p>
    <w:p w14:paraId="4E211282" w14:textId="65CFF29F" w:rsidR="00B15510" w:rsidRDefault="00B15510" w:rsidP="005F7220">
      <w:pPr>
        <w:rPr>
          <w:rFonts w:cstheme="minorHAnsi"/>
          <w:vertAlign w:val="superscript"/>
        </w:rPr>
      </w:pPr>
    </w:p>
    <w:p w14:paraId="759B9F17" w14:textId="77777777" w:rsidR="00B15510" w:rsidRPr="00767481" w:rsidRDefault="00B15510" w:rsidP="005F7220">
      <w:pPr>
        <w:rPr>
          <w:rFonts w:cstheme="minorHAnsi"/>
        </w:rPr>
      </w:pPr>
    </w:p>
    <w:p w14:paraId="3A778512" w14:textId="77777777" w:rsidR="001109F9" w:rsidRPr="00767481" w:rsidRDefault="001109F9">
      <w:pPr>
        <w:rPr>
          <w:rFonts w:cstheme="minorHAnsi"/>
        </w:rPr>
      </w:pPr>
    </w:p>
    <w:p w14:paraId="1DAE8E21" w14:textId="5B00E944" w:rsidR="001109F9" w:rsidRPr="00767481" w:rsidRDefault="00332BE3" w:rsidP="00332BE3">
      <w:pPr>
        <w:jc w:val="center"/>
        <w:rPr>
          <w:rFonts w:cstheme="minorHAnsi"/>
          <w:b/>
          <w:bCs/>
          <w:sz w:val="28"/>
          <w:szCs w:val="28"/>
        </w:rPr>
      </w:pPr>
      <w:r w:rsidRPr="00767481">
        <w:rPr>
          <w:rFonts w:cstheme="minorHAnsi"/>
          <w:b/>
          <w:bCs/>
          <w:sz w:val="28"/>
          <w:szCs w:val="28"/>
        </w:rPr>
        <w:t>2, 4-dichlorophenoxyacetic acid (2, 4-D</w:t>
      </w:r>
      <w:r w:rsidRPr="00767481">
        <w:rPr>
          <w:rFonts w:cstheme="minorHAnsi"/>
          <w:b/>
          <w:bCs/>
          <w:sz w:val="28"/>
          <w:szCs w:val="28"/>
        </w:rPr>
        <w:t>)</w:t>
      </w:r>
    </w:p>
    <w:p w14:paraId="4D01B2B0" w14:textId="5530F3BC" w:rsidR="00943EE9" w:rsidRPr="00767481" w:rsidRDefault="00943EE9" w:rsidP="00332BE3">
      <w:pPr>
        <w:jc w:val="center"/>
        <w:rPr>
          <w:rFonts w:cstheme="minorHAnsi"/>
          <w:b/>
          <w:bCs/>
          <w:sz w:val="28"/>
          <w:szCs w:val="28"/>
        </w:rPr>
      </w:pPr>
    </w:p>
    <w:p w14:paraId="641C4A17" w14:textId="32DC3D0C" w:rsidR="006370C1" w:rsidRPr="006370C1" w:rsidRDefault="006370C1" w:rsidP="006370C1">
      <w:pPr>
        <w:jc w:val="center"/>
        <w:rPr>
          <w:rFonts w:eastAsia="Times New Roman" w:cstheme="minorHAnsi"/>
        </w:rPr>
      </w:pPr>
      <w:r w:rsidRPr="006370C1">
        <w:rPr>
          <w:rFonts w:eastAsia="Times New Roman" w:cstheme="minorHAnsi"/>
        </w:rPr>
        <w:fldChar w:fldCharType="begin"/>
      </w:r>
      <w:r w:rsidRPr="006370C1">
        <w:rPr>
          <w:rFonts w:eastAsia="Times New Roman" w:cstheme="minorHAnsi"/>
        </w:rPr>
        <w:instrText xml:space="preserve"> INCLUDEPICTURE "/var/folders/cl/r4_zs2j125n00brqf11cptsr0000gn/T/com.microsoft.Word/WebArchiveCopyPasteTempFiles/1200px-2%2C4-Dichlorophenoxyacetic_acid_structure_numbered.svg.png" \* MERGEFORMATINET </w:instrText>
      </w:r>
      <w:r w:rsidRPr="006370C1">
        <w:rPr>
          <w:rFonts w:eastAsia="Times New Roman" w:cstheme="minorHAnsi"/>
        </w:rPr>
        <w:fldChar w:fldCharType="separate"/>
      </w:r>
      <w:r w:rsidRPr="00767481">
        <w:rPr>
          <w:rFonts w:eastAsia="Times New Roman" w:cstheme="minorHAnsi"/>
          <w:noProof/>
        </w:rPr>
        <w:drawing>
          <wp:inline distT="0" distB="0" distL="0" distR="0" wp14:anchorId="6CA07E5B" wp14:editId="01E401C7">
            <wp:extent cx="2044800" cy="1093400"/>
            <wp:effectExtent l="12700" t="12700" r="1270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2951" cy="1108453"/>
                    </a:xfrm>
                    <a:prstGeom prst="rect">
                      <a:avLst/>
                    </a:prstGeom>
                    <a:noFill/>
                    <a:ln w="12700">
                      <a:solidFill>
                        <a:schemeClr val="tx1"/>
                      </a:solidFill>
                    </a:ln>
                  </pic:spPr>
                </pic:pic>
              </a:graphicData>
            </a:graphic>
          </wp:inline>
        </w:drawing>
      </w:r>
      <w:r w:rsidRPr="006370C1">
        <w:rPr>
          <w:rFonts w:eastAsia="Times New Roman" w:cstheme="minorHAnsi"/>
        </w:rPr>
        <w:fldChar w:fldCharType="end"/>
      </w:r>
    </w:p>
    <w:p w14:paraId="52035F6B" w14:textId="667069D4" w:rsidR="00943EE9" w:rsidRPr="00767481" w:rsidRDefault="00943EE9" w:rsidP="00332BE3">
      <w:pPr>
        <w:jc w:val="center"/>
        <w:rPr>
          <w:rFonts w:cstheme="minorHAnsi"/>
          <w:b/>
          <w:bCs/>
          <w:sz w:val="28"/>
          <w:szCs w:val="28"/>
        </w:rPr>
      </w:pPr>
    </w:p>
    <w:p w14:paraId="30A3967A" w14:textId="77777777" w:rsidR="001109F9" w:rsidRPr="00767481" w:rsidRDefault="001109F9">
      <w:pPr>
        <w:rPr>
          <w:rFonts w:cstheme="minorHAnsi"/>
          <w:sz w:val="28"/>
          <w:szCs w:val="28"/>
        </w:rPr>
      </w:pPr>
    </w:p>
    <w:p w14:paraId="09BEFCBB" w14:textId="4C8F4DAC" w:rsidR="007A6CAE" w:rsidRPr="00767481" w:rsidRDefault="007A6CAE">
      <w:pPr>
        <w:rPr>
          <w:rFonts w:cstheme="minorHAnsi"/>
        </w:rPr>
      </w:pPr>
      <w:r w:rsidRPr="00767481">
        <w:rPr>
          <w:rFonts w:cstheme="minorHAnsi"/>
        </w:rPr>
        <w:t>2,4</w:t>
      </w:r>
      <w:r w:rsidR="00F90355" w:rsidRPr="00767481">
        <w:rPr>
          <w:rFonts w:cstheme="minorHAnsi"/>
        </w:rPr>
        <w:t>-</w:t>
      </w:r>
      <w:r w:rsidRPr="00767481">
        <w:rPr>
          <w:rFonts w:cstheme="minorHAnsi"/>
        </w:rPr>
        <w:t>D (</w:t>
      </w:r>
      <w:r w:rsidR="0023757E" w:rsidRPr="00767481">
        <w:rPr>
          <w:rFonts w:cstheme="minorHAnsi"/>
        </w:rPr>
        <w:t>the most common herbicide used in “</w:t>
      </w:r>
      <w:r w:rsidRPr="00767481">
        <w:rPr>
          <w:rFonts w:cstheme="minorHAnsi"/>
        </w:rPr>
        <w:t>Weed N Feed</w:t>
      </w:r>
      <w:r w:rsidR="0023757E" w:rsidRPr="00767481">
        <w:rPr>
          <w:rFonts w:cstheme="minorHAnsi"/>
        </w:rPr>
        <w:t>” products</w:t>
      </w:r>
      <w:r w:rsidRPr="00767481">
        <w:rPr>
          <w:rFonts w:cstheme="minorHAnsi"/>
        </w:rPr>
        <w:t xml:space="preserve">) </w:t>
      </w:r>
      <w:r w:rsidR="0023757E" w:rsidRPr="00767481">
        <w:rPr>
          <w:rFonts w:cstheme="minorHAnsi"/>
        </w:rPr>
        <w:t xml:space="preserve"> has been called, “</w:t>
      </w:r>
      <w:r w:rsidRPr="00767481">
        <w:rPr>
          <w:rFonts w:cstheme="minorHAnsi"/>
        </w:rPr>
        <w:t>The most dangerous pesticide you’ve never heard of</w:t>
      </w:r>
      <w:r w:rsidR="0023757E" w:rsidRPr="00767481">
        <w:rPr>
          <w:rFonts w:cstheme="minorHAnsi"/>
        </w:rPr>
        <w:t>,” by the Natural Resources Defense Council.</w:t>
      </w:r>
    </w:p>
    <w:p w14:paraId="6BB5D31D" w14:textId="66697B8F" w:rsidR="004D006D" w:rsidRPr="00767481" w:rsidRDefault="004D006D" w:rsidP="007A6CAE">
      <w:pPr>
        <w:rPr>
          <w:rFonts w:eastAsia="Times New Roman" w:cstheme="minorHAnsi"/>
          <w:color w:val="2B2B2B"/>
          <w:spacing w:val="1"/>
          <w:shd w:val="clear" w:color="auto" w:fill="FFFFFF"/>
        </w:rPr>
      </w:pPr>
      <w:r w:rsidRPr="00767481">
        <w:rPr>
          <w:rFonts w:eastAsia="Times New Roman" w:cstheme="minorHAnsi"/>
          <w:color w:val="2B2B2B"/>
          <w:spacing w:val="1"/>
          <w:shd w:val="clear" w:color="auto" w:fill="FFFFFF"/>
        </w:rPr>
        <w:t>It has been available since the 1940s,</w:t>
      </w:r>
      <w:r w:rsidR="00F90355" w:rsidRPr="00767481">
        <w:rPr>
          <w:rFonts w:eastAsia="Times New Roman" w:cstheme="minorHAnsi"/>
          <w:color w:val="2B2B2B"/>
          <w:spacing w:val="1"/>
          <w:shd w:val="clear" w:color="auto" w:fill="FFFFFF"/>
        </w:rPr>
        <w:t xml:space="preserve"> and it </w:t>
      </w:r>
      <w:r w:rsidR="00F90355" w:rsidRPr="00767481">
        <w:rPr>
          <w:rFonts w:eastAsia="Times New Roman" w:cstheme="minorHAnsi"/>
          <w:color w:val="2B2B2B"/>
          <w:spacing w:val="1"/>
          <w:shd w:val="clear" w:color="auto" w:fill="FFFFFF"/>
        </w:rPr>
        <w:t>was one of t</w:t>
      </w:r>
      <w:r w:rsidR="00F90355" w:rsidRPr="00767481">
        <w:rPr>
          <w:rFonts w:eastAsia="Times New Roman" w:cstheme="minorHAnsi"/>
          <w:color w:val="2B2B2B"/>
          <w:spacing w:val="1"/>
          <w:shd w:val="clear" w:color="auto" w:fill="FFFFFF"/>
        </w:rPr>
        <w:t>wo</w:t>
      </w:r>
      <w:r w:rsidR="00F90355" w:rsidRPr="00767481">
        <w:rPr>
          <w:rFonts w:eastAsia="Times New Roman" w:cstheme="minorHAnsi"/>
          <w:color w:val="2B2B2B"/>
          <w:spacing w:val="1"/>
          <w:shd w:val="clear" w:color="auto" w:fill="FFFFFF"/>
        </w:rPr>
        <w:t xml:space="preserve"> main ingredients in Agent Orange.</w:t>
      </w:r>
      <w:r w:rsidRPr="00767481">
        <w:rPr>
          <w:rFonts w:eastAsia="Times New Roman" w:cstheme="minorHAnsi"/>
          <w:color w:val="2B2B2B"/>
          <w:spacing w:val="1"/>
          <w:shd w:val="clear" w:color="auto" w:fill="FFFFFF"/>
        </w:rPr>
        <w:t xml:space="preserve"> </w:t>
      </w:r>
      <w:r w:rsidR="00F90355" w:rsidRPr="00767481">
        <w:rPr>
          <w:rFonts w:eastAsia="Times New Roman" w:cstheme="minorHAnsi"/>
          <w:color w:val="2B2B2B"/>
          <w:spacing w:val="1"/>
          <w:shd w:val="clear" w:color="auto" w:fill="FFFFFF"/>
        </w:rPr>
        <w:t>B</w:t>
      </w:r>
      <w:r w:rsidRPr="00767481">
        <w:rPr>
          <w:rFonts w:eastAsia="Times New Roman" w:cstheme="minorHAnsi"/>
          <w:color w:val="2B2B2B"/>
          <w:spacing w:val="1"/>
          <w:shd w:val="clear" w:color="auto" w:fill="FFFFFF"/>
        </w:rPr>
        <w:t xml:space="preserve">ut since the introduction </w:t>
      </w:r>
      <w:r w:rsidR="00F90355" w:rsidRPr="00767481">
        <w:rPr>
          <w:rFonts w:eastAsia="Times New Roman" w:cstheme="minorHAnsi"/>
          <w:color w:val="2B2B2B"/>
          <w:spacing w:val="1"/>
          <w:shd w:val="clear" w:color="auto" w:fill="FFFFFF"/>
        </w:rPr>
        <w:t>of GMO crops</w:t>
      </w:r>
      <w:r w:rsidR="006370C1" w:rsidRPr="00767481">
        <w:rPr>
          <w:rFonts w:eastAsia="Times New Roman" w:cstheme="minorHAnsi"/>
          <w:color w:val="2B2B2B"/>
          <w:spacing w:val="1"/>
          <w:shd w:val="clear" w:color="auto" w:fill="FFFFFF"/>
        </w:rPr>
        <w:t>,</w:t>
      </w:r>
      <w:r w:rsidR="00F90355" w:rsidRPr="00767481">
        <w:rPr>
          <w:rFonts w:eastAsia="Times New Roman" w:cstheme="minorHAnsi"/>
          <w:color w:val="2B2B2B"/>
          <w:spacing w:val="1"/>
          <w:shd w:val="clear" w:color="auto" w:fill="FFFFFF"/>
        </w:rPr>
        <w:t xml:space="preserve"> resistan</w:t>
      </w:r>
      <w:r w:rsidR="006370C1" w:rsidRPr="00767481">
        <w:rPr>
          <w:rFonts w:eastAsia="Times New Roman" w:cstheme="minorHAnsi"/>
          <w:color w:val="2B2B2B"/>
          <w:spacing w:val="1"/>
          <w:shd w:val="clear" w:color="auto" w:fill="FFFFFF"/>
        </w:rPr>
        <w:t>ce</w:t>
      </w:r>
      <w:r w:rsidR="00F90355" w:rsidRPr="00767481">
        <w:rPr>
          <w:rFonts w:eastAsia="Times New Roman" w:cstheme="minorHAnsi"/>
          <w:color w:val="2B2B2B"/>
          <w:spacing w:val="1"/>
          <w:shd w:val="clear" w:color="auto" w:fill="FFFFFF"/>
        </w:rPr>
        <w:t xml:space="preserve"> to 2,4-D</w:t>
      </w:r>
      <w:r w:rsidR="006370C1" w:rsidRPr="00767481">
        <w:rPr>
          <w:rFonts w:eastAsia="Times New Roman" w:cstheme="minorHAnsi"/>
          <w:color w:val="2B2B2B"/>
          <w:spacing w:val="1"/>
          <w:shd w:val="clear" w:color="auto" w:fill="FFFFFF"/>
        </w:rPr>
        <w:t xml:space="preserve">  and </w:t>
      </w:r>
      <w:r w:rsidR="00F90355" w:rsidRPr="00767481">
        <w:rPr>
          <w:rFonts w:eastAsia="Times New Roman" w:cstheme="minorHAnsi"/>
          <w:color w:val="2B2B2B"/>
          <w:spacing w:val="1"/>
          <w:shd w:val="clear" w:color="auto" w:fill="FFFFFF"/>
        </w:rPr>
        <w:t>exposure of the public</w:t>
      </w:r>
      <w:r w:rsidR="006370C1" w:rsidRPr="00767481">
        <w:rPr>
          <w:rFonts w:eastAsia="Times New Roman" w:cstheme="minorHAnsi"/>
          <w:color w:val="2B2B2B"/>
          <w:spacing w:val="1"/>
          <w:shd w:val="clear" w:color="auto" w:fill="FFFFFF"/>
        </w:rPr>
        <w:t xml:space="preserve"> have both</w:t>
      </w:r>
      <w:r w:rsidR="00F90355" w:rsidRPr="00767481">
        <w:rPr>
          <w:rFonts w:eastAsia="Times New Roman" w:cstheme="minorHAnsi"/>
          <w:color w:val="2B2B2B"/>
          <w:spacing w:val="1"/>
          <w:shd w:val="clear" w:color="auto" w:fill="FFFFFF"/>
        </w:rPr>
        <w:t xml:space="preserve"> exploded.</w:t>
      </w:r>
    </w:p>
    <w:p w14:paraId="3AD1384B" w14:textId="77777777" w:rsidR="004D006D" w:rsidRPr="00767481" w:rsidRDefault="004D006D" w:rsidP="007A6CAE">
      <w:pPr>
        <w:rPr>
          <w:rFonts w:eastAsia="Times New Roman" w:cstheme="minorHAnsi"/>
          <w:color w:val="2B2B2B"/>
          <w:spacing w:val="1"/>
          <w:shd w:val="clear" w:color="auto" w:fill="FFFFFF"/>
        </w:rPr>
      </w:pPr>
    </w:p>
    <w:p w14:paraId="52DE11F1" w14:textId="0D2B3A0F" w:rsidR="00836CF3" w:rsidRPr="00767481" w:rsidRDefault="00FB5FC2" w:rsidP="007A6CAE">
      <w:pPr>
        <w:rPr>
          <w:rFonts w:eastAsia="Times New Roman" w:cstheme="minorHAnsi"/>
          <w:color w:val="2B2B2B"/>
          <w:spacing w:val="1"/>
          <w:shd w:val="clear" w:color="auto" w:fill="FFFFFF"/>
        </w:rPr>
      </w:pPr>
      <w:r w:rsidRPr="00767481">
        <w:rPr>
          <w:rFonts w:eastAsia="Times New Roman" w:cstheme="minorHAnsi"/>
          <w:color w:val="2B2B2B"/>
          <w:spacing w:val="1"/>
          <w:shd w:val="clear" w:color="auto" w:fill="FFFFFF"/>
        </w:rPr>
        <w:t>I</w:t>
      </w:r>
      <w:r w:rsidR="00BC0702" w:rsidRPr="00767481">
        <w:rPr>
          <w:rFonts w:eastAsia="Times New Roman" w:cstheme="minorHAnsi"/>
          <w:color w:val="2B2B2B"/>
          <w:spacing w:val="1"/>
          <w:shd w:val="clear" w:color="auto" w:fill="FFFFFF"/>
        </w:rPr>
        <w:t>n 1987</w:t>
      </w:r>
      <w:r w:rsidR="007A6CAE" w:rsidRPr="007A6CAE">
        <w:rPr>
          <w:rFonts w:eastAsia="Times New Roman" w:cstheme="minorHAnsi"/>
          <w:color w:val="2B2B2B"/>
          <w:spacing w:val="1"/>
          <w:shd w:val="clear" w:color="auto" w:fill="FFFFFF"/>
        </w:rPr>
        <w:t xml:space="preserve"> the International Agency for Research on Cancer</w:t>
      </w:r>
      <w:r w:rsidR="006370C1" w:rsidRPr="00767481">
        <w:rPr>
          <w:rFonts w:eastAsia="Times New Roman" w:cstheme="minorHAnsi"/>
          <w:color w:val="2B2B2B"/>
          <w:spacing w:val="1"/>
          <w:shd w:val="clear" w:color="auto" w:fill="FFFFFF"/>
        </w:rPr>
        <w:t xml:space="preserve"> ( IARC), part of the World Health Organization,</w:t>
      </w:r>
      <w:r w:rsidR="007A6CAE" w:rsidRPr="007A6CAE">
        <w:rPr>
          <w:rFonts w:eastAsia="Times New Roman" w:cstheme="minorHAnsi"/>
          <w:color w:val="2B2B2B"/>
          <w:spacing w:val="1"/>
          <w:shd w:val="clear" w:color="auto" w:fill="FFFFFF"/>
        </w:rPr>
        <w:t xml:space="preserve"> declared 2,4-D</w:t>
      </w:r>
      <w:r w:rsidR="006370C1" w:rsidRPr="00767481">
        <w:rPr>
          <w:rFonts w:eastAsia="Times New Roman" w:cstheme="minorHAnsi"/>
          <w:color w:val="2B2B2B"/>
          <w:spacing w:val="1"/>
          <w:shd w:val="clear" w:color="auto" w:fill="FFFFFF"/>
        </w:rPr>
        <w:t xml:space="preserve"> a possible human carcinogen</w:t>
      </w:r>
      <w:r w:rsidR="00BC0702" w:rsidRPr="00767481">
        <w:rPr>
          <w:rFonts w:eastAsia="Times New Roman" w:cstheme="minorHAnsi"/>
          <w:color w:val="2B2B2B"/>
          <w:spacing w:val="1"/>
          <w:shd w:val="clear" w:color="auto" w:fill="FFFFFF"/>
        </w:rPr>
        <w:t>, and in 2015 reaffirmed that classification.</w:t>
      </w:r>
      <w:r w:rsidR="006370C1" w:rsidRPr="00767481">
        <w:rPr>
          <w:rFonts w:eastAsia="Times New Roman" w:cstheme="minorHAnsi"/>
          <w:color w:val="2B2B2B"/>
          <w:spacing w:val="1"/>
          <w:shd w:val="clear" w:color="auto" w:fill="FFFFFF"/>
          <w:vertAlign w:val="superscript"/>
        </w:rPr>
        <w:t>14</w:t>
      </w:r>
      <w:r w:rsidR="0023757E" w:rsidRPr="00767481">
        <w:rPr>
          <w:rFonts w:eastAsia="Times New Roman" w:cstheme="minorHAnsi"/>
          <w:color w:val="2B2B2B"/>
          <w:spacing w:val="1"/>
          <w:shd w:val="clear" w:color="auto" w:fill="FFFFFF"/>
        </w:rPr>
        <w:t xml:space="preserve"> </w:t>
      </w:r>
      <w:r w:rsidR="00836CF3" w:rsidRPr="00767481">
        <w:rPr>
          <w:rFonts w:eastAsia="Times New Roman" w:cstheme="minorHAnsi"/>
          <w:color w:val="2B2B2B"/>
          <w:spacing w:val="1"/>
          <w:shd w:val="clear" w:color="auto" w:fill="FFFFFF"/>
        </w:rPr>
        <w:t xml:space="preserve"> IARC b</w:t>
      </w:r>
      <w:r w:rsidR="00836CF3" w:rsidRPr="00767481">
        <w:rPr>
          <w:rFonts w:eastAsia="Times New Roman" w:cstheme="minorHAnsi"/>
          <w:color w:val="2B2B2B"/>
          <w:spacing w:val="1"/>
          <w:shd w:val="clear" w:color="auto" w:fill="FFFFFF"/>
        </w:rPr>
        <w:t>ased the classification on epidemiological studies that provided “strong evidence that 2, 4-D induces oxidative stress … and moderate evidence that 2, 4-D causes immunosuppression.”</w:t>
      </w:r>
    </w:p>
    <w:p w14:paraId="22D24638" w14:textId="77777777" w:rsidR="00836CF3" w:rsidRPr="00767481" w:rsidRDefault="00836CF3" w:rsidP="007A6CAE">
      <w:pPr>
        <w:rPr>
          <w:rFonts w:eastAsia="Times New Roman" w:cstheme="minorHAnsi"/>
          <w:color w:val="2B2B2B"/>
          <w:spacing w:val="1"/>
          <w:shd w:val="clear" w:color="auto" w:fill="FFFFFF"/>
        </w:rPr>
      </w:pPr>
    </w:p>
    <w:p w14:paraId="43E8BB7F" w14:textId="1F606515" w:rsidR="0023757E" w:rsidRPr="00767481" w:rsidRDefault="006370C1" w:rsidP="0023757E">
      <w:pPr>
        <w:rPr>
          <w:rFonts w:eastAsia="Times New Roman" w:cstheme="minorHAnsi"/>
          <w:color w:val="2B2B2B"/>
          <w:spacing w:val="1"/>
          <w:shd w:val="clear" w:color="auto" w:fill="FFFFFF"/>
        </w:rPr>
      </w:pPr>
      <w:r w:rsidRPr="00767481">
        <w:rPr>
          <w:rFonts w:eastAsia="Times New Roman" w:cstheme="minorHAnsi"/>
          <w:color w:val="2B2B2B"/>
          <w:spacing w:val="1"/>
          <w:shd w:val="clear" w:color="auto" w:fill="FFFFFF"/>
        </w:rPr>
        <w:t xml:space="preserve">As with dicamba, </w:t>
      </w:r>
      <w:r w:rsidR="007A6CAE" w:rsidRPr="007A6CAE">
        <w:rPr>
          <w:rFonts w:eastAsia="Times New Roman" w:cstheme="minorHAnsi"/>
          <w:color w:val="2B2B2B"/>
          <w:spacing w:val="1"/>
          <w:shd w:val="clear" w:color="auto" w:fill="FFFFFF"/>
        </w:rPr>
        <w:t xml:space="preserve">2,4-D </w:t>
      </w:r>
      <w:r w:rsidRPr="00767481">
        <w:rPr>
          <w:rFonts w:eastAsia="Times New Roman" w:cstheme="minorHAnsi"/>
          <w:color w:val="2B2B2B"/>
          <w:spacing w:val="1"/>
          <w:shd w:val="clear" w:color="auto" w:fill="FFFFFF"/>
        </w:rPr>
        <w:t xml:space="preserve">is an </w:t>
      </w:r>
      <w:r w:rsidR="007A6CAE" w:rsidRPr="007A6CAE">
        <w:rPr>
          <w:rFonts w:eastAsia="Times New Roman" w:cstheme="minorHAnsi"/>
          <w:color w:val="2B2B2B"/>
          <w:spacing w:val="1"/>
          <w:shd w:val="clear" w:color="auto" w:fill="FFFFFF"/>
        </w:rPr>
        <w:t>endocrine-disrupting chemical</w:t>
      </w:r>
      <w:r w:rsidR="009D6F07">
        <w:rPr>
          <w:rFonts w:eastAsia="Times New Roman" w:cstheme="minorHAnsi"/>
          <w:color w:val="2B2B2B"/>
          <w:spacing w:val="1"/>
          <w:shd w:val="clear" w:color="auto" w:fill="FFFFFF"/>
        </w:rPr>
        <w:t xml:space="preserve"> (EDC).</w:t>
      </w:r>
      <w:r w:rsidR="00785E90" w:rsidRPr="00767481">
        <w:rPr>
          <w:rFonts w:eastAsia="Times New Roman" w:cstheme="minorHAnsi"/>
          <w:color w:val="2B2B2B"/>
          <w:spacing w:val="1"/>
          <w:shd w:val="clear" w:color="auto" w:fill="FFFFFF"/>
        </w:rPr>
        <w:t xml:space="preserve"> The </w:t>
      </w:r>
      <w:r w:rsidR="00785E90" w:rsidRPr="00767481">
        <w:rPr>
          <w:rFonts w:eastAsia="Times New Roman" w:cstheme="minorHAnsi"/>
        </w:rPr>
        <w:t>h</w:t>
      </w:r>
      <w:r w:rsidR="0023757E" w:rsidRPr="00767481">
        <w:rPr>
          <w:rFonts w:eastAsia="Times New Roman" w:cstheme="minorHAnsi"/>
        </w:rPr>
        <w:t>alf</w:t>
      </w:r>
      <w:r w:rsidR="00DB2AA7" w:rsidRPr="00767481">
        <w:rPr>
          <w:rFonts w:eastAsia="Times New Roman" w:cstheme="minorHAnsi"/>
        </w:rPr>
        <w:t>-</w:t>
      </w:r>
      <w:r w:rsidR="0023757E" w:rsidRPr="00767481">
        <w:rPr>
          <w:rFonts w:eastAsia="Times New Roman" w:cstheme="minorHAnsi"/>
        </w:rPr>
        <w:t xml:space="preserve">life of 2,4 D may be as short as 10 days, but </w:t>
      </w:r>
      <w:r w:rsidR="00A51C96" w:rsidRPr="00767481">
        <w:rPr>
          <w:rFonts w:eastAsia="Times New Roman" w:cstheme="minorHAnsi"/>
        </w:rPr>
        <w:t xml:space="preserve">can be </w:t>
      </w:r>
      <w:r w:rsidR="0023757E" w:rsidRPr="00767481">
        <w:rPr>
          <w:rFonts w:eastAsia="Times New Roman" w:cstheme="minorHAnsi"/>
        </w:rPr>
        <w:t>as long as 312 days.</w:t>
      </w:r>
      <w:r w:rsidR="00DB2AA7" w:rsidRPr="00767481">
        <w:rPr>
          <w:rFonts w:eastAsia="Times New Roman" w:cstheme="minorHAnsi"/>
        </w:rPr>
        <w:t xml:space="preserve"> </w:t>
      </w:r>
      <w:r w:rsidR="0023757E" w:rsidRPr="00767481">
        <w:rPr>
          <w:rFonts w:eastAsia="Times New Roman" w:cstheme="minorHAnsi"/>
        </w:rPr>
        <w:t xml:space="preserve">Metabolism of a pesticide is not necessarily a process </w:t>
      </w:r>
      <w:r w:rsidR="0023757E" w:rsidRPr="00767481">
        <w:rPr>
          <w:rFonts w:eastAsia="Times New Roman" w:cstheme="minorHAnsi"/>
        </w:rPr>
        <w:t>that results in</w:t>
      </w:r>
      <w:r w:rsidR="0023757E" w:rsidRPr="00767481">
        <w:rPr>
          <w:rFonts w:eastAsia="Times New Roman" w:cstheme="minorHAnsi"/>
        </w:rPr>
        <w:t xml:space="preserve"> detoxification</w:t>
      </w:r>
      <w:r w:rsidR="00785E90" w:rsidRPr="00767481">
        <w:rPr>
          <w:rFonts w:eastAsia="Times New Roman" w:cstheme="minorHAnsi"/>
        </w:rPr>
        <w:t>. The result is that t</w:t>
      </w:r>
      <w:r w:rsidR="0023757E" w:rsidRPr="00767481">
        <w:rPr>
          <w:rFonts w:eastAsia="Times New Roman" w:cstheme="minorHAnsi"/>
        </w:rPr>
        <w:t xml:space="preserve">he combined toxicities of the mixtures of parent pesticide and its metabolites may be additive, synergistic, or antagonistic. </w:t>
      </w:r>
      <w:r w:rsidR="00785E90" w:rsidRPr="00767481">
        <w:rPr>
          <w:rFonts w:eastAsia="Times New Roman" w:cstheme="minorHAnsi"/>
        </w:rPr>
        <w:t>In the case of 2,4-D, t</w:t>
      </w:r>
      <w:r w:rsidR="0023757E" w:rsidRPr="00767481">
        <w:rPr>
          <w:rFonts w:eastAsia="Times New Roman" w:cstheme="minorHAnsi"/>
        </w:rPr>
        <w:t>he toxicity of 2,4-DCP (one of its primary metabolites) is</w:t>
      </w:r>
      <w:r w:rsidR="00DB2AA7" w:rsidRPr="00767481">
        <w:rPr>
          <w:rFonts w:eastAsia="Times New Roman" w:cstheme="minorHAnsi"/>
        </w:rPr>
        <w:t xml:space="preserve"> greater</w:t>
      </w:r>
      <w:r w:rsidR="0023757E" w:rsidRPr="00767481">
        <w:rPr>
          <w:rFonts w:eastAsia="Times New Roman" w:cstheme="minorHAnsi"/>
        </w:rPr>
        <w:t xml:space="preserve"> than that of its parent 2,4-D compound at any concentration levels</w:t>
      </w:r>
      <w:r w:rsidR="00DB2AA7" w:rsidRPr="00767481">
        <w:rPr>
          <w:rFonts w:eastAsia="Times New Roman" w:cstheme="minorHAnsi"/>
        </w:rPr>
        <w:t>.</w:t>
      </w:r>
      <w:r w:rsidR="00785E90" w:rsidRPr="00767481">
        <w:rPr>
          <w:rFonts w:eastAsia="Times New Roman" w:cstheme="minorHAnsi"/>
          <w:vertAlign w:val="superscript"/>
        </w:rPr>
        <w:t>15</w:t>
      </w:r>
      <w:r w:rsidR="0023757E" w:rsidRPr="00767481">
        <w:rPr>
          <w:rFonts w:eastAsia="Times New Roman" w:cstheme="minorHAnsi"/>
        </w:rPr>
        <w:t xml:space="preserve"> </w:t>
      </w:r>
    </w:p>
    <w:p w14:paraId="055B0BFB" w14:textId="77777777" w:rsidR="00DB2AA7" w:rsidRPr="00FA6E8E" w:rsidRDefault="00DB2AA7" w:rsidP="0023757E">
      <w:pPr>
        <w:rPr>
          <w:rFonts w:eastAsia="Times New Roman" w:cstheme="minorHAnsi"/>
        </w:rPr>
      </w:pPr>
    </w:p>
    <w:p w14:paraId="526DE2CF" w14:textId="5A9610CE" w:rsidR="0023757E" w:rsidRPr="00767481" w:rsidRDefault="00B561DD" w:rsidP="0023757E">
      <w:pPr>
        <w:rPr>
          <w:rFonts w:cstheme="minorHAnsi"/>
        </w:rPr>
      </w:pPr>
      <w:r w:rsidRPr="00767481">
        <w:rPr>
          <w:rFonts w:cstheme="minorHAnsi"/>
        </w:rPr>
        <w:t xml:space="preserve">In </w:t>
      </w:r>
      <w:r w:rsidR="005D290C" w:rsidRPr="00767481">
        <w:rPr>
          <w:rFonts w:cstheme="minorHAnsi"/>
        </w:rPr>
        <w:t xml:space="preserve">a lawsuit by multiple groups against EPA’s registration of 2,4-D because of its effect on monarch butterflies, </w:t>
      </w:r>
      <w:r w:rsidRPr="00767481">
        <w:rPr>
          <w:rFonts w:cstheme="minorHAnsi"/>
        </w:rPr>
        <w:t xml:space="preserve">the U.S. Court of Appeals for the Ninth Circuit ruled that </w:t>
      </w:r>
      <w:r w:rsidRPr="00767481">
        <w:rPr>
          <w:rFonts w:cstheme="minorHAnsi"/>
        </w:rPr>
        <w:t>2,4-D could remain on the market</w:t>
      </w:r>
      <w:r w:rsidR="005D290C" w:rsidRPr="00767481">
        <w:rPr>
          <w:rFonts w:cstheme="minorHAnsi"/>
        </w:rPr>
        <w:t>, but a dissenting opinion by one of the justices is worth paying attention to.  Circuit Judge Watford wrote the following:</w:t>
      </w:r>
    </w:p>
    <w:p w14:paraId="610E4B74" w14:textId="647B9DD2" w:rsidR="004E26C5" w:rsidRPr="00767481" w:rsidRDefault="006C0D74" w:rsidP="004E26C5">
      <w:pPr>
        <w:pStyle w:val="NormalWeb"/>
        <w:rPr>
          <w:rFonts w:asciiTheme="minorHAnsi" w:hAnsiTheme="minorHAnsi" w:cstheme="minorHAnsi"/>
        </w:rPr>
      </w:pPr>
      <w:r w:rsidRPr="00767481">
        <w:rPr>
          <w:rFonts w:asciiTheme="minorHAnsi" w:hAnsiTheme="minorHAnsi" w:cstheme="minorHAnsi"/>
        </w:rPr>
        <w:t>“</w:t>
      </w:r>
      <w:r w:rsidRPr="00767481">
        <w:rPr>
          <w:rFonts w:asciiTheme="minorHAnsi" w:hAnsiTheme="minorHAnsi" w:cstheme="minorHAnsi"/>
        </w:rPr>
        <w:t>To evaluate the risks that Enlist Duo</w:t>
      </w:r>
      <w:r w:rsidRPr="00767481">
        <w:rPr>
          <w:rFonts w:asciiTheme="minorHAnsi" w:hAnsiTheme="minorHAnsi" w:cstheme="minorHAnsi"/>
        </w:rPr>
        <w:t xml:space="preserve"> [a commercial formula combining 2,4-D and glyphosate] </w:t>
      </w:r>
      <w:r w:rsidRPr="00767481">
        <w:rPr>
          <w:rFonts w:asciiTheme="minorHAnsi" w:hAnsiTheme="minorHAnsi" w:cstheme="minorHAnsi"/>
        </w:rPr>
        <w:t xml:space="preserve"> poses to listed </w:t>
      </w:r>
      <w:r w:rsidRPr="00767481">
        <w:rPr>
          <w:rFonts w:asciiTheme="minorHAnsi" w:hAnsiTheme="minorHAnsi" w:cstheme="minorHAnsi"/>
        </w:rPr>
        <w:t xml:space="preserve">[endangered] </w:t>
      </w:r>
      <w:r w:rsidRPr="00767481">
        <w:rPr>
          <w:rFonts w:asciiTheme="minorHAnsi" w:hAnsiTheme="minorHAnsi" w:cstheme="minorHAnsi"/>
        </w:rPr>
        <w:t xml:space="preserve">species, EPA applied the </w:t>
      </w:r>
      <w:r w:rsidR="004E26C5" w:rsidRPr="00767481">
        <w:rPr>
          <w:rFonts w:asciiTheme="minorHAnsi" w:hAnsiTheme="minorHAnsi" w:cstheme="minorHAnsi"/>
        </w:rPr>
        <w:t>‘</w:t>
      </w:r>
      <w:r w:rsidRPr="00767481">
        <w:rPr>
          <w:rFonts w:asciiTheme="minorHAnsi" w:hAnsiTheme="minorHAnsi" w:cstheme="minorHAnsi"/>
        </w:rPr>
        <w:t>risk quotient</w:t>
      </w:r>
      <w:r w:rsidR="004E26C5" w:rsidRPr="00767481">
        <w:rPr>
          <w:rFonts w:asciiTheme="minorHAnsi" w:hAnsiTheme="minorHAnsi" w:cstheme="minorHAnsi"/>
        </w:rPr>
        <w:t>’</w:t>
      </w:r>
      <w:r w:rsidRPr="00767481">
        <w:rPr>
          <w:rFonts w:asciiTheme="minorHAnsi" w:hAnsiTheme="minorHAnsi" w:cstheme="minorHAnsi"/>
        </w:rPr>
        <w:t xml:space="preserve"> method, an approach that integrates exposure and toxicity data using single-point estimates</w:t>
      </w:r>
      <w:r w:rsidRPr="00767481">
        <w:rPr>
          <w:rFonts w:asciiTheme="minorHAnsi" w:hAnsiTheme="minorHAnsi" w:cstheme="minorHAnsi"/>
        </w:rPr>
        <w:t>…</w:t>
      </w:r>
      <w:r w:rsidRPr="00767481">
        <w:rPr>
          <w:rFonts w:asciiTheme="minorHAnsi" w:hAnsiTheme="minorHAnsi" w:cstheme="minorHAnsi"/>
        </w:rPr>
        <w:t xml:space="preserve">as the National Academy of Sciences explained in a 2013 report—issued in response to EPA’s own request for advice on the subject—the risk quotient method does not </w:t>
      </w:r>
      <w:r w:rsidR="004E26C5" w:rsidRPr="00767481">
        <w:rPr>
          <w:rFonts w:asciiTheme="minorHAnsi" w:hAnsiTheme="minorHAnsi" w:cstheme="minorHAnsi"/>
        </w:rPr>
        <w:t>‘</w:t>
      </w:r>
      <w:r w:rsidRPr="00767481">
        <w:rPr>
          <w:rFonts w:asciiTheme="minorHAnsi" w:hAnsiTheme="minorHAnsi" w:cstheme="minorHAnsi"/>
        </w:rPr>
        <w:t>estimate risk</w:t>
      </w:r>
      <w:r w:rsidR="004E26C5" w:rsidRPr="00767481">
        <w:rPr>
          <w:rFonts w:asciiTheme="minorHAnsi" w:hAnsiTheme="minorHAnsi" w:cstheme="minorHAnsi"/>
        </w:rPr>
        <w:t>’</w:t>
      </w:r>
      <w:r w:rsidRPr="00767481">
        <w:rPr>
          <w:rFonts w:asciiTheme="minorHAnsi" w:hAnsiTheme="minorHAnsi" w:cstheme="minorHAnsi"/>
        </w:rPr>
        <w:t xml:space="preserve"> at all.</w:t>
      </w:r>
      <w:r w:rsidR="004E26C5" w:rsidRPr="00767481">
        <w:rPr>
          <w:rFonts w:asciiTheme="minorHAnsi" w:hAnsiTheme="minorHAnsi" w:cstheme="minorHAnsi"/>
        </w:rPr>
        <w:t xml:space="preserve">  It ‘</w:t>
      </w:r>
      <w:r w:rsidR="004E26C5" w:rsidRPr="00767481">
        <w:rPr>
          <w:rFonts w:asciiTheme="minorHAnsi" w:hAnsiTheme="minorHAnsi" w:cstheme="minorHAnsi"/>
        </w:rPr>
        <w:t>provides no information about the probability of an adverse effect</w:t>
      </w:r>
      <w:r w:rsidR="004E26C5" w:rsidRPr="00767481">
        <w:rPr>
          <w:rFonts w:asciiTheme="minorHAnsi" w:hAnsiTheme="minorHAnsi" w:cstheme="minorHAnsi"/>
        </w:rPr>
        <w:t>’</w:t>
      </w:r>
      <w:r w:rsidR="004E26C5" w:rsidRPr="00767481">
        <w:rPr>
          <w:rFonts w:asciiTheme="minorHAnsi" w:hAnsiTheme="minorHAnsi" w:cstheme="minorHAnsi"/>
        </w:rPr>
        <w:t xml:space="preserve"> because single-point estimates do not account for the full range of possible exposure scenarios.</w:t>
      </w:r>
    </w:p>
    <w:p w14:paraId="75625D99" w14:textId="01321620" w:rsidR="004E26C5" w:rsidRPr="00767481" w:rsidRDefault="004E26C5" w:rsidP="001B5E58">
      <w:pPr>
        <w:pStyle w:val="NormalWeb"/>
        <w:rPr>
          <w:rFonts w:asciiTheme="minorHAnsi" w:hAnsiTheme="minorHAnsi" w:cstheme="minorHAnsi"/>
        </w:rPr>
      </w:pPr>
      <w:r w:rsidRPr="00767481">
        <w:rPr>
          <w:rFonts w:asciiTheme="minorHAnsi" w:hAnsiTheme="minorHAnsi" w:cstheme="minorHAnsi"/>
        </w:rPr>
        <w:t>“</w:t>
      </w:r>
      <w:r w:rsidRPr="00767481">
        <w:rPr>
          <w:rFonts w:asciiTheme="minorHAnsi" w:hAnsiTheme="minorHAnsi" w:cstheme="minorHAnsi"/>
        </w:rPr>
        <w:t xml:space="preserve">In light of these observations, the Academy concluded that risk quotients </w:t>
      </w:r>
      <w:r w:rsidRPr="00767481">
        <w:rPr>
          <w:rFonts w:asciiTheme="minorHAnsi" w:hAnsiTheme="minorHAnsi" w:cstheme="minorHAnsi"/>
        </w:rPr>
        <w:t>‘</w:t>
      </w:r>
      <w:r w:rsidRPr="00767481">
        <w:rPr>
          <w:rFonts w:asciiTheme="minorHAnsi" w:hAnsiTheme="minorHAnsi" w:cstheme="minorHAnsi"/>
        </w:rPr>
        <w:t>are not scientifically defensible for assessing the risks to listed species posed by pesticides</w:t>
      </w:r>
      <w:r w:rsidRPr="00767481">
        <w:rPr>
          <w:rFonts w:asciiTheme="minorHAnsi" w:hAnsiTheme="minorHAnsi" w:cstheme="minorHAnsi"/>
        </w:rPr>
        <w:t xml:space="preserve"> </w:t>
      </w:r>
      <w:r w:rsidRPr="00767481">
        <w:rPr>
          <w:rFonts w:asciiTheme="minorHAnsi" w:hAnsiTheme="minorHAnsi" w:cstheme="minorHAnsi"/>
        </w:rPr>
        <w:t>or indeed for any application in which the desire is to base a decision on the probabilities of various possible outcomes</w:t>
      </w:r>
      <w:r w:rsidR="001B5E58" w:rsidRPr="00767481">
        <w:rPr>
          <w:rFonts w:asciiTheme="minorHAnsi" w:hAnsiTheme="minorHAnsi" w:cstheme="minorHAnsi"/>
        </w:rPr>
        <w:t xml:space="preserve">’… </w:t>
      </w:r>
      <w:r w:rsidR="001B5E58" w:rsidRPr="00767481">
        <w:rPr>
          <w:rFonts w:asciiTheme="minorHAnsi" w:hAnsiTheme="minorHAnsi" w:cstheme="minorHAnsi"/>
        </w:rPr>
        <w:t>EPA does not dispute the Academy’s scientific conclusions. Nor has EPA made any attempt to justify, on a</w:t>
      </w:r>
      <w:r w:rsidR="001B5E58" w:rsidRPr="00767481">
        <w:rPr>
          <w:rFonts w:asciiTheme="minorHAnsi" w:hAnsiTheme="minorHAnsi" w:cstheme="minorHAnsi"/>
        </w:rPr>
        <w:t xml:space="preserve"> </w:t>
      </w:r>
      <w:r w:rsidR="001B5E58" w:rsidRPr="00767481">
        <w:rPr>
          <w:rFonts w:asciiTheme="minorHAnsi" w:hAnsiTheme="minorHAnsi" w:cstheme="minorHAnsi"/>
        </w:rPr>
        <w:t>scientific basis, its continued reliance on the risk quotient method.</w:t>
      </w:r>
    </w:p>
    <w:p w14:paraId="1ADAD48D" w14:textId="42D56570" w:rsidR="006C0D74" w:rsidRPr="00767481" w:rsidRDefault="001B5E58" w:rsidP="001B5E58">
      <w:pPr>
        <w:rPr>
          <w:rFonts w:cstheme="minorHAnsi"/>
        </w:rPr>
      </w:pPr>
      <w:r w:rsidRPr="00767481">
        <w:rPr>
          <w:rFonts w:cstheme="minorHAnsi"/>
        </w:rPr>
        <w:t>“</w:t>
      </w:r>
      <w:r w:rsidRPr="00767481">
        <w:rPr>
          <w:rFonts w:cstheme="minorHAnsi"/>
        </w:rPr>
        <w:t>Following today’s decision, an agency may rely on data produced by a scientifically indefensible methodology so long as better data, produced by a methodology that is scientifically defensible, has not yet</w:t>
      </w:r>
      <w:r w:rsidRPr="00767481">
        <w:rPr>
          <w:rFonts w:cstheme="minorHAnsi"/>
        </w:rPr>
        <w:t xml:space="preserve"> </w:t>
      </w:r>
      <w:r w:rsidRPr="00767481">
        <w:rPr>
          <w:rFonts w:cstheme="minorHAnsi"/>
        </w:rPr>
        <w:t>been generated</w:t>
      </w:r>
      <w:r w:rsidRPr="00767481">
        <w:rPr>
          <w:rFonts w:cstheme="minorHAnsi"/>
        </w:rPr>
        <w:t>…</w:t>
      </w:r>
      <w:r w:rsidR="00F47A58" w:rsidRPr="00767481">
        <w:rPr>
          <w:rFonts w:cstheme="minorHAnsi"/>
        </w:rPr>
        <w:t xml:space="preserve">[EPA’s] </w:t>
      </w:r>
      <w:r w:rsidR="00F47A58" w:rsidRPr="00767481">
        <w:rPr>
          <w:rFonts w:cstheme="minorHAnsi"/>
        </w:rPr>
        <w:t xml:space="preserve">data does not qualify as </w:t>
      </w:r>
      <w:r w:rsidR="00F47A58" w:rsidRPr="00767481">
        <w:rPr>
          <w:rFonts w:cstheme="minorHAnsi"/>
        </w:rPr>
        <w:t>‘</w:t>
      </w:r>
      <w:r w:rsidR="00F47A58" w:rsidRPr="00767481">
        <w:rPr>
          <w:rFonts w:cstheme="minorHAnsi"/>
        </w:rPr>
        <w:t>scientific data</w:t>
      </w:r>
      <w:r w:rsidR="00F47A58" w:rsidRPr="00767481">
        <w:rPr>
          <w:rFonts w:cstheme="minorHAnsi"/>
        </w:rPr>
        <w:t>’</w:t>
      </w:r>
      <w:r w:rsidR="00F47A58" w:rsidRPr="00767481">
        <w:rPr>
          <w:rFonts w:cstheme="minorHAnsi"/>
        </w:rPr>
        <w:t xml:space="preserve"> in the first place.</w:t>
      </w:r>
      <w:r w:rsidR="00F47A58" w:rsidRPr="00767481">
        <w:rPr>
          <w:rFonts w:cstheme="minorHAnsi"/>
        </w:rPr>
        <w:t>”</w:t>
      </w:r>
    </w:p>
    <w:p w14:paraId="782944E3" w14:textId="0FA147EA" w:rsidR="005D290C" w:rsidRPr="00767481" w:rsidRDefault="005D290C" w:rsidP="0023757E">
      <w:pPr>
        <w:rPr>
          <w:rFonts w:cstheme="minorHAnsi"/>
        </w:rPr>
      </w:pPr>
    </w:p>
    <w:p w14:paraId="3950A7C3" w14:textId="0D70CD43" w:rsidR="00F47A58" w:rsidRDefault="00F47A58" w:rsidP="0023757E">
      <w:pPr>
        <w:rPr>
          <w:rFonts w:cstheme="minorHAnsi"/>
        </w:rPr>
      </w:pPr>
      <w:r w:rsidRPr="00767481">
        <w:rPr>
          <w:rFonts w:cstheme="minorHAnsi"/>
        </w:rPr>
        <w:t>In other words, the judge, citing the National Academy of Sciences, said EPA’s approval of 2,4-D is indefensible.</w:t>
      </w:r>
    </w:p>
    <w:p w14:paraId="3B7F2FB3" w14:textId="1955ADE3" w:rsidR="007D5120" w:rsidRDefault="007D5120" w:rsidP="0023757E">
      <w:pPr>
        <w:rPr>
          <w:rFonts w:cstheme="minorHAnsi"/>
        </w:rPr>
      </w:pPr>
    </w:p>
    <w:p w14:paraId="06FC985D" w14:textId="41320832" w:rsidR="007D5120" w:rsidRPr="00767481" w:rsidRDefault="007D5120" w:rsidP="0023757E">
      <w:pPr>
        <w:rPr>
          <w:rFonts w:cstheme="minorHAnsi"/>
        </w:rPr>
      </w:pPr>
      <w:r>
        <w:rPr>
          <w:rFonts w:cstheme="minorHAnsi"/>
        </w:rPr>
        <w:t>The Chicago Tribune did an extensive expose’</w:t>
      </w:r>
      <w:r w:rsidRPr="007D5120">
        <w:rPr>
          <w:rFonts w:cstheme="minorHAnsi"/>
          <w:vertAlign w:val="superscript"/>
        </w:rPr>
        <w:t>26</w:t>
      </w:r>
      <w:r>
        <w:rPr>
          <w:rFonts w:cstheme="minorHAnsi"/>
        </w:rPr>
        <w:t xml:space="preserve"> o</w:t>
      </w:r>
      <w:r w:rsidR="009D6F07">
        <w:rPr>
          <w:rFonts w:cstheme="minorHAnsi"/>
        </w:rPr>
        <w:t>n</w:t>
      </w:r>
      <w:r>
        <w:rPr>
          <w:rFonts w:cstheme="minorHAnsi"/>
        </w:rPr>
        <w:t xml:space="preserve"> </w:t>
      </w:r>
      <w:r w:rsidR="006A763B">
        <w:rPr>
          <w:rFonts w:cstheme="minorHAnsi"/>
        </w:rPr>
        <w:t>how in 2015,</w:t>
      </w:r>
      <w:r>
        <w:rPr>
          <w:rFonts w:cstheme="minorHAnsi"/>
        </w:rPr>
        <w:t xml:space="preserve"> EPA </w:t>
      </w:r>
      <w:r w:rsidR="006A763B">
        <w:rPr>
          <w:rFonts w:cstheme="minorHAnsi"/>
        </w:rPr>
        <w:t>tossed</w:t>
      </w:r>
      <w:r>
        <w:rPr>
          <w:rFonts w:cstheme="minorHAnsi"/>
        </w:rPr>
        <w:t xml:space="preserve">  aside </w:t>
      </w:r>
      <w:proofErr w:type="gramStart"/>
      <w:r w:rsidR="006A763B">
        <w:rPr>
          <w:rFonts w:cstheme="minorHAnsi"/>
        </w:rPr>
        <w:t>long standing</w:t>
      </w:r>
      <w:proofErr w:type="gramEnd"/>
      <w:r w:rsidR="006A763B">
        <w:rPr>
          <w:rFonts w:cstheme="minorHAnsi"/>
        </w:rPr>
        <w:t xml:space="preserve"> </w:t>
      </w:r>
      <w:r>
        <w:rPr>
          <w:rFonts w:cstheme="minorHAnsi"/>
        </w:rPr>
        <w:t xml:space="preserve">safety data </w:t>
      </w:r>
      <w:r w:rsidR="006A763B">
        <w:rPr>
          <w:rFonts w:cstheme="minorHAnsi"/>
        </w:rPr>
        <w:t>and</w:t>
      </w:r>
      <w:r>
        <w:rPr>
          <w:rFonts w:cstheme="minorHAnsi"/>
        </w:rPr>
        <w:t xml:space="preserve"> approv</w:t>
      </w:r>
      <w:r w:rsidR="006A763B">
        <w:rPr>
          <w:rFonts w:cstheme="minorHAnsi"/>
        </w:rPr>
        <w:t>ed</w:t>
      </w:r>
      <w:r>
        <w:rPr>
          <w:rFonts w:cstheme="minorHAnsi"/>
        </w:rPr>
        <w:t xml:space="preserve"> a dramatic increase in EPA’s </w:t>
      </w:r>
      <w:r w:rsidR="006A763B">
        <w:rPr>
          <w:rFonts w:cstheme="minorHAnsi"/>
        </w:rPr>
        <w:t>“</w:t>
      </w:r>
      <w:r>
        <w:rPr>
          <w:rFonts w:cstheme="minorHAnsi"/>
        </w:rPr>
        <w:t>acceptable</w:t>
      </w:r>
      <w:r w:rsidR="006A763B">
        <w:rPr>
          <w:rFonts w:cstheme="minorHAnsi"/>
        </w:rPr>
        <w:t>”</w:t>
      </w:r>
      <w:r>
        <w:rPr>
          <w:rFonts w:cstheme="minorHAnsi"/>
        </w:rPr>
        <w:t xml:space="preserve"> level of exposure to 2,4-D</w:t>
      </w:r>
      <w:r w:rsidR="00D050A9">
        <w:rPr>
          <w:rFonts w:cstheme="minorHAnsi"/>
        </w:rPr>
        <w:t>.</w:t>
      </w:r>
      <w:r w:rsidR="006A763B">
        <w:rPr>
          <w:rFonts w:cstheme="minorHAnsi"/>
        </w:rPr>
        <w:t xml:space="preserve"> </w:t>
      </w:r>
      <w:r w:rsidR="00D050A9">
        <w:rPr>
          <w:rFonts w:cstheme="minorHAnsi"/>
        </w:rPr>
        <w:t>EPA approved a</w:t>
      </w:r>
      <w:r w:rsidR="006A763B">
        <w:rPr>
          <w:rFonts w:cstheme="minorHAnsi"/>
        </w:rPr>
        <w:t xml:space="preserve"> level 41 times greater than the previous limit, </w:t>
      </w:r>
      <w:r w:rsidR="00D050A9">
        <w:rPr>
          <w:rFonts w:cstheme="minorHAnsi"/>
        </w:rPr>
        <w:t xml:space="preserve">greater than </w:t>
      </w:r>
      <w:r w:rsidR="006A763B">
        <w:rPr>
          <w:rFonts w:cstheme="minorHAnsi"/>
        </w:rPr>
        <w:t>levels</w:t>
      </w:r>
      <w:r>
        <w:rPr>
          <w:rFonts w:cstheme="minorHAnsi"/>
        </w:rPr>
        <w:t xml:space="preserve"> that are considered unsafe</w:t>
      </w:r>
      <w:r w:rsidR="006A763B">
        <w:rPr>
          <w:rFonts w:cstheme="minorHAnsi"/>
        </w:rPr>
        <w:t xml:space="preserve"> in</w:t>
      </w:r>
      <w:r w:rsidR="006A763B" w:rsidRPr="006A763B">
        <w:rPr>
          <w:rFonts w:cstheme="minorHAnsi"/>
        </w:rPr>
        <w:t xml:space="preserve"> Russia, Australia, South Korea, Canada, Brazil</w:t>
      </w:r>
      <w:r w:rsidR="006A763B">
        <w:rPr>
          <w:rFonts w:cstheme="minorHAnsi"/>
        </w:rPr>
        <w:t>,</w:t>
      </w:r>
      <w:r w:rsidR="006A763B" w:rsidRPr="006A763B">
        <w:rPr>
          <w:rFonts w:cstheme="minorHAnsi"/>
        </w:rPr>
        <w:t xml:space="preserve"> and China</w:t>
      </w:r>
      <w:r w:rsidR="006A763B">
        <w:rPr>
          <w:rFonts w:cstheme="minorHAnsi"/>
        </w:rPr>
        <w:t>, and by the World Health Organization.</w:t>
      </w:r>
      <w:r w:rsidR="00D050A9">
        <w:rPr>
          <w:rFonts w:cstheme="minorHAnsi"/>
        </w:rPr>
        <w:t xml:space="preserve">  To justify that conclusion, </w:t>
      </w:r>
      <w:r w:rsidR="00D050A9" w:rsidRPr="00D050A9">
        <w:rPr>
          <w:rFonts w:cstheme="minorHAnsi"/>
        </w:rPr>
        <w:t xml:space="preserve">the agency's scientists changed their analysis of </w:t>
      </w:r>
      <w:r w:rsidR="009D6F07">
        <w:rPr>
          <w:rFonts w:cstheme="minorHAnsi"/>
        </w:rPr>
        <w:t>one</w:t>
      </w:r>
      <w:r w:rsidR="00D050A9" w:rsidRPr="00D050A9">
        <w:rPr>
          <w:rFonts w:cstheme="minorHAnsi"/>
        </w:rPr>
        <w:t xml:space="preserve"> pivotal rat study by Dow</w:t>
      </w:r>
      <w:r w:rsidR="00D050A9">
        <w:rPr>
          <w:rFonts w:cstheme="minorHAnsi"/>
        </w:rPr>
        <w:t xml:space="preserve"> Chemical</w:t>
      </w:r>
      <w:r w:rsidR="0080277B">
        <w:rPr>
          <w:rFonts w:cstheme="minorHAnsi"/>
        </w:rPr>
        <w:t>, whose own scientists “reinterpreted” in mid-stream, a single study in rats,</w:t>
      </w:r>
      <w:r w:rsidR="00D050A9" w:rsidRPr="00D050A9">
        <w:rPr>
          <w:rFonts w:cstheme="minorHAnsi"/>
        </w:rPr>
        <w:t xml:space="preserve"> tossing aside signs of kidney trouble that Dow</w:t>
      </w:r>
      <w:r w:rsidR="00D050A9">
        <w:rPr>
          <w:rFonts w:cstheme="minorHAnsi"/>
        </w:rPr>
        <w:t>’s own</w:t>
      </w:r>
      <w:r w:rsidR="00D050A9" w:rsidRPr="00D050A9">
        <w:rPr>
          <w:rFonts w:cstheme="minorHAnsi"/>
        </w:rPr>
        <w:t xml:space="preserve"> researchers </w:t>
      </w:r>
      <w:r w:rsidR="0080277B">
        <w:rPr>
          <w:rFonts w:cstheme="minorHAnsi"/>
        </w:rPr>
        <w:t xml:space="preserve">initially </w:t>
      </w:r>
      <w:r w:rsidR="00D050A9" w:rsidRPr="00D050A9">
        <w:rPr>
          <w:rFonts w:cstheme="minorHAnsi"/>
        </w:rPr>
        <w:t>said were caused by 2,4-D.</w:t>
      </w:r>
    </w:p>
    <w:p w14:paraId="58BB7EBB" w14:textId="2BF9BB47" w:rsidR="00F47A58" w:rsidRPr="00767481" w:rsidRDefault="00F47A58" w:rsidP="0023757E">
      <w:pPr>
        <w:rPr>
          <w:rFonts w:cstheme="minorHAnsi"/>
        </w:rPr>
      </w:pPr>
    </w:p>
    <w:p w14:paraId="5E65598D" w14:textId="77777777" w:rsidR="00A45E0A" w:rsidRPr="00767481" w:rsidRDefault="00F47A58" w:rsidP="0023757E">
      <w:pPr>
        <w:rPr>
          <w:rFonts w:cstheme="minorHAnsi"/>
        </w:rPr>
      </w:pPr>
      <w:r w:rsidRPr="00767481">
        <w:rPr>
          <w:rFonts w:cstheme="minorHAnsi"/>
        </w:rPr>
        <w:t>Below is a summary of the research on the human health consequences of 2,4-D.</w:t>
      </w:r>
    </w:p>
    <w:p w14:paraId="5D46D590" w14:textId="77777777" w:rsidR="00A45E0A" w:rsidRPr="00767481" w:rsidRDefault="00A45E0A" w:rsidP="0023757E">
      <w:pPr>
        <w:rPr>
          <w:rFonts w:cstheme="minorHAnsi"/>
        </w:rPr>
      </w:pPr>
    </w:p>
    <w:p w14:paraId="0BD913E8" w14:textId="21DD68BA" w:rsidR="005B4C52" w:rsidRPr="00767481" w:rsidRDefault="005B4C52" w:rsidP="0023757E">
      <w:pPr>
        <w:rPr>
          <w:rFonts w:cstheme="minorHAnsi"/>
        </w:rPr>
      </w:pPr>
    </w:p>
    <w:p w14:paraId="580E6DB6"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Non-Hodgkin lymphoma</w:t>
      </w:r>
    </w:p>
    <w:p w14:paraId="3C93B429"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A systematic review and meta-analysis of studies of associations between 2, 4-D and NHL [non-Hodgkin lymphoma] found “new evidence for an association between NHL and exposure to the herbicide 2, 4-D… Overall, in our analysis focused on the highest exposure group from each study, we identified a statistically significant association between 2, 4-D exposure and increased RRs [relative risks] of NHL.” </w:t>
      </w:r>
      <w:hyperlink r:id="rId10" w:tgtFrame="_blank" w:history="1">
        <w:r w:rsidRPr="005B4C52">
          <w:rPr>
            <w:rFonts w:eastAsia="Times New Roman" w:cstheme="minorHAnsi"/>
            <w:color w:val="2069BB"/>
            <w:u w:val="single"/>
          </w:rPr>
          <w:t>2, 4-dichlorophenoxyacetic a</w:t>
        </w:r>
        <w:r w:rsidRPr="005B4C52">
          <w:rPr>
            <w:rFonts w:eastAsia="Times New Roman" w:cstheme="minorHAnsi"/>
            <w:color w:val="2069BB"/>
            <w:u w:val="single"/>
          </w:rPr>
          <w:t>c</w:t>
        </w:r>
        <w:r w:rsidRPr="005B4C52">
          <w:rPr>
            <w:rFonts w:eastAsia="Times New Roman" w:cstheme="minorHAnsi"/>
            <w:color w:val="2069BB"/>
            <w:u w:val="single"/>
          </w:rPr>
          <w:t>id (2, 4-D) and risk of non-Hodgkin lymphoma: a meta-analysis accounting for exposure levels</w:t>
        </w:r>
      </w:hyperlink>
      <w:r w:rsidRPr="005B4C52">
        <w:rPr>
          <w:rFonts w:eastAsia="Times New Roman" w:cstheme="minorHAnsi"/>
          <w:color w:val="000000"/>
        </w:rPr>
        <w:t>. </w:t>
      </w:r>
      <w:r w:rsidRPr="005B4C52">
        <w:rPr>
          <w:rFonts w:eastAsia="Times New Roman" w:cstheme="minorHAnsi"/>
          <w:i/>
          <w:iCs/>
          <w:color w:val="000000"/>
        </w:rPr>
        <w:t>Annals of Epidemiology</w:t>
      </w:r>
      <w:r w:rsidRPr="005B4C52">
        <w:rPr>
          <w:rFonts w:eastAsia="Times New Roman" w:cstheme="minorHAnsi"/>
          <w:color w:val="000000"/>
        </w:rPr>
        <w:t>, 2017.</w:t>
      </w:r>
    </w:p>
    <w:p w14:paraId="097368F5"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Systematic review and meta-analyses of nearly three decades of epidemiological research on the relationship between non-Hodgkin lymphoma and occupational exposure to agricultural pesticides finds that “Diffuse large B-cell lymphoma was positively associated with phenoxy herbicide exposure.” </w:t>
      </w:r>
      <w:hyperlink r:id="rId11" w:tgtFrame="_blank" w:history="1">
        <w:r w:rsidRPr="005B4C52">
          <w:rPr>
            <w:rFonts w:eastAsia="Times New Roman" w:cstheme="minorHAnsi"/>
            <w:color w:val="2069BB"/>
            <w:u w:val="single"/>
          </w:rPr>
          <w:t>Non-Hodgkin Lymphoma and Occupational Exposure to Agricultural Pesticide Chemical Groups and Active Ingredients: A Systematic Review and Meta-Analysis</w:t>
        </w:r>
      </w:hyperlink>
      <w:r w:rsidRPr="005B4C52">
        <w:rPr>
          <w:rFonts w:eastAsia="Times New Roman" w:cstheme="minorHAnsi"/>
          <w:color w:val="000000"/>
        </w:rPr>
        <w:t>. </w:t>
      </w:r>
      <w:r w:rsidRPr="005B4C52">
        <w:rPr>
          <w:rFonts w:eastAsia="Times New Roman" w:cstheme="minorHAnsi"/>
          <w:i/>
          <w:iCs/>
          <w:color w:val="000000"/>
        </w:rPr>
        <w:t>International Journal of Environmental Research and Public Health</w:t>
      </w:r>
      <w:r w:rsidRPr="005B4C52">
        <w:rPr>
          <w:rFonts w:eastAsia="Times New Roman" w:cstheme="minorHAnsi"/>
          <w:color w:val="000000"/>
        </w:rPr>
        <w:t>, 2014.</w:t>
      </w:r>
    </w:p>
    <w:p w14:paraId="2B8E2D3C"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A population-based case-control study in Italy found that “the positive association found between phenoxy herbicides exposures and NHL [non-Hodgkin lymphoma], when we restricted the analysis to the subjects who never used personal protective equipment, confirms previously reported associations…” </w:t>
      </w:r>
      <w:hyperlink r:id="rId12" w:tgtFrame="_blank" w:history="1">
        <w:r w:rsidRPr="005B4C52">
          <w:rPr>
            <w:rFonts w:eastAsia="Times New Roman" w:cstheme="minorHAnsi"/>
            <w:color w:val="2069BB"/>
            <w:u w:val="single"/>
          </w:rPr>
          <w:t xml:space="preserve">Cancer and Pesticides: An Overview and Some Results of the Italian Multicenter Case–Control Study on </w:t>
        </w:r>
        <w:proofErr w:type="spellStart"/>
        <w:r w:rsidRPr="005B4C52">
          <w:rPr>
            <w:rFonts w:eastAsia="Times New Roman" w:cstheme="minorHAnsi"/>
            <w:color w:val="2069BB"/>
            <w:u w:val="single"/>
          </w:rPr>
          <w:t>Hematolymphopoietic</w:t>
        </w:r>
        <w:proofErr w:type="spellEnd"/>
        <w:r w:rsidRPr="005B4C52">
          <w:rPr>
            <w:rFonts w:eastAsia="Times New Roman" w:cstheme="minorHAnsi"/>
            <w:color w:val="2069BB"/>
            <w:u w:val="single"/>
          </w:rPr>
          <w:t xml:space="preserve"> Malignancies</w:t>
        </w:r>
      </w:hyperlink>
      <w:r w:rsidRPr="005B4C52">
        <w:rPr>
          <w:rFonts w:eastAsia="Times New Roman" w:cstheme="minorHAnsi"/>
          <w:color w:val="000000"/>
        </w:rPr>
        <w:t>. </w:t>
      </w:r>
      <w:r w:rsidRPr="005B4C52">
        <w:rPr>
          <w:rFonts w:eastAsia="Times New Roman" w:cstheme="minorHAnsi"/>
          <w:i/>
          <w:iCs/>
          <w:color w:val="000000"/>
        </w:rPr>
        <w:t>Annals of the New York Academy of Sciences</w:t>
      </w:r>
      <w:r w:rsidRPr="005B4C52">
        <w:rPr>
          <w:rFonts w:eastAsia="Times New Roman" w:cstheme="minorHAnsi"/>
          <w:color w:val="000000"/>
        </w:rPr>
        <w:t>, 2006.</w:t>
      </w:r>
    </w:p>
    <w:p w14:paraId="5C8F6596" w14:textId="702F2072" w:rsidR="00423270"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A population-based, case-control study in Nebraska found a “50% excess of NHL [non-Hodgkin lymphoma] associated with mixing or applying 2, 4-D. The risk for NHL increased with the average frequency of use to more than threefold among those exposed more than 20 days per year.” </w:t>
      </w:r>
      <w:hyperlink r:id="rId13" w:tgtFrame="_blank" w:history="1">
        <w:r w:rsidRPr="005B4C52">
          <w:rPr>
            <w:rFonts w:eastAsia="Times New Roman" w:cstheme="minorHAnsi"/>
            <w:color w:val="2069BB"/>
            <w:u w:val="single"/>
          </w:rPr>
          <w:t>A case-control study of non-Hodgkin’s lymphoma and the herbicide 2, 4-dichlorophenoxyacetic acid (2, 4-D) in eastern Nebraska</w:t>
        </w:r>
      </w:hyperlink>
      <w:r w:rsidRPr="005B4C52">
        <w:rPr>
          <w:rFonts w:eastAsia="Times New Roman" w:cstheme="minorHAnsi"/>
          <w:color w:val="000000"/>
        </w:rPr>
        <w:t>. </w:t>
      </w:r>
      <w:r w:rsidRPr="005B4C52">
        <w:rPr>
          <w:rFonts w:eastAsia="Times New Roman" w:cstheme="minorHAnsi"/>
          <w:i/>
          <w:iCs/>
          <w:color w:val="000000"/>
        </w:rPr>
        <w:t>Epidemiology</w:t>
      </w:r>
      <w:r w:rsidRPr="005B4C52">
        <w:rPr>
          <w:rFonts w:eastAsia="Times New Roman" w:cstheme="minorHAnsi"/>
          <w:color w:val="000000"/>
        </w:rPr>
        <w:t>, 1990.</w:t>
      </w:r>
    </w:p>
    <w:p w14:paraId="6D430A19"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lastRenderedPageBreak/>
        <w:t>Birth defects</w:t>
      </w:r>
    </w:p>
    <w:p w14:paraId="3FE761CF"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 xml:space="preserve">Study of rates of adverse birth outcomes in Minnesota, Montana, North Dakota, and South Dakota found that “in rural, agricultural counties where wheat acreage occupies a larger percentage of the land and where use of </w:t>
      </w:r>
      <w:proofErr w:type="spellStart"/>
      <w:r w:rsidRPr="005B4C52">
        <w:rPr>
          <w:rFonts w:eastAsia="Times New Roman" w:cstheme="minorHAnsi"/>
          <w:color w:val="000000"/>
        </w:rPr>
        <w:t>chlorophenoxy</w:t>
      </w:r>
      <w:proofErr w:type="spellEnd"/>
      <w:r w:rsidRPr="005B4C52">
        <w:rPr>
          <w:rFonts w:eastAsia="Times New Roman" w:cstheme="minorHAnsi"/>
          <w:color w:val="000000"/>
        </w:rPr>
        <w:t xml:space="preserve"> herbicides is higher, anomalies of the circulatory/respiratory and musculoskeletal/integumentary system significantly increased.” </w:t>
      </w:r>
      <w:hyperlink r:id="rId14" w:tgtFrame="_blank" w:history="1">
        <w:r w:rsidRPr="005B4C52">
          <w:rPr>
            <w:rFonts w:eastAsia="Times New Roman" w:cstheme="minorHAnsi"/>
            <w:color w:val="2069BB"/>
            <w:u w:val="single"/>
          </w:rPr>
          <w:t>Birth Malformations and Other Adverse Perinatal Outcomes in Four U.S. Wheat-Producing States</w:t>
        </w:r>
      </w:hyperlink>
      <w:r w:rsidRPr="005B4C52">
        <w:rPr>
          <w:rFonts w:eastAsia="Times New Roman" w:cstheme="minorHAnsi"/>
          <w:color w:val="000000"/>
        </w:rPr>
        <w:t>. </w:t>
      </w:r>
      <w:r w:rsidRPr="005B4C52">
        <w:rPr>
          <w:rFonts w:eastAsia="Times New Roman" w:cstheme="minorHAnsi"/>
          <w:i/>
          <w:iCs/>
          <w:color w:val="000000"/>
        </w:rPr>
        <w:t>Environmental Health Perspectives</w:t>
      </w:r>
      <w:r w:rsidRPr="005B4C52">
        <w:rPr>
          <w:rFonts w:eastAsia="Times New Roman" w:cstheme="minorHAnsi"/>
          <w:color w:val="000000"/>
        </w:rPr>
        <w:t>, 2003.</w:t>
      </w:r>
    </w:p>
    <w:p w14:paraId="2CF8E28C" w14:textId="0C140746" w:rsidR="00854EC8" w:rsidRPr="00767481" w:rsidRDefault="005B4C52" w:rsidP="005B4C52">
      <w:pPr>
        <w:spacing w:after="100" w:afterAutospacing="1"/>
        <w:rPr>
          <w:rFonts w:eastAsia="Times New Roman" w:cstheme="minorHAnsi"/>
          <w:color w:val="000000"/>
        </w:rPr>
      </w:pPr>
      <w:r w:rsidRPr="005B4C52">
        <w:rPr>
          <w:rFonts w:eastAsia="Times New Roman" w:cstheme="minorHAnsi"/>
          <w:color w:val="000000"/>
        </w:rPr>
        <w:t xml:space="preserve">Study of offspring of pesticide appliers in Minnesota found that “the rate of birth defects increased in…offspring born to the general population residing in high-use </w:t>
      </w:r>
      <w:proofErr w:type="spellStart"/>
      <w:r w:rsidRPr="005B4C52">
        <w:rPr>
          <w:rFonts w:eastAsia="Times New Roman" w:cstheme="minorHAnsi"/>
          <w:color w:val="000000"/>
        </w:rPr>
        <w:t>chlorophenoxy</w:t>
      </w:r>
      <w:proofErr w:type="spellEnd"/>
      <w:r w:rsidRPr="005B4C52">
        <w:rPr>
          <w:rFonts w:eastAsia="Times New Roman" w:cstheme="minorHAnsi"/>
          <w:color w:val="000000"/>
        </w:rPr>
        <w:t xml:space="preserve"> herbicide/fungicide regions…” </w:t>
      </w:r>
      <w:hyperlink r:id="rId15" w:tgtFrame="_blank" w:history="1">
        <w:r w:rsidRPr="005B4C52">
          <w:rPr>
            <w:rFonts w:eastAsia="Times New Roman" w:cstheme="minorHAnsi"/>
            <w:color w:val="2069BB"/>
            <w:u w:val="single"/>
          </w:rPr>
          <w:t>Pesticide appliers, biocides, and birth defects in rural Minnesota</w:t>
        </w:r>
      </w:hyperlink>
      <w:r w:rsidRPr="005B4C52">
        <w:rPr>
          <w:rFonts w:eastAsia="Times New Roman" w:cstheme="minorHAnsi"/>
          <w:color w:val="000000"/>
        </w:rPr>
        <w:t>. </w:t>
      </w:r>
      <w:r w:rsidRPr="005B4C52">
        <w:rPr>
          <w:rFonts w:eastAsia="Times New Roman" w:cstheme="minorHAnsi"/>
          <w:i/>
          <w:iCs/>
          <w:color w:val="000000"/>
        </w:rPr>
        <w:t>Environmental Health Perspectives</w:t>
      </w:r>
      <w:r w:rsidRPr="005B4C52">
        <w:rPr>
          <w:rFonts w:eastAsia="Times New Roman" w:cstheme="minorHAnsi"/>
          <w:color w:val="000000"/>
        </w:rPr>
        <w:t>, 1996.</w:t>
      </w:r>
    </w:p>
    <w:p w14:paraId="1901E520" w14:textId="78BFC680" w:rsidR="00C12041" w:rsidRPr="00767481" w:rsidRDefault="00854EC8" w:rsidP="00C12041">
      <w:pPr>
        <w:spacing w:after="100" w:afterAutospacing="1"/>
        <w:rPr>
          <w:rFonts w:eastAsia="Times New Roman" w:cstheme="minorHAnsi"/>
          <w:color w:val="000000"/>
        </w:rPr>
      </w:pPr>
      <w:r w:rsidRPr="00767481">
        <w:rPr>
          <w:rFonts w:eastAsia="Times New Roman" w:cstheme="minorHAnsi"/>
          <w:color w:val="000000"/>
        </w:rPr>
        <w:t xml:space="preserve">Higher risk of birth defect, hypospadias, </w:t>
      </w:r>
      <w:r w:rsidR="00552A7C" w:rsidRPr="00767481">
        <w:rPr>
          <w:rFonts w:eastAsia="Times New Roman" w:cstheme="minorHAnsi"/>
          <w:color w:val="000000"/>
        </w:rPr>
        <w:t>with pregnant mother’s proximity to use of</w:t>
      </w:r>
      <w:r w:rsidRPr="00767481">
        <w:rPr>
          <w:rFonts w:eastAsia="Times New Roman" w:cstheme="minorHAnsi"/>
          <w:color w:val="000000"/>
        </w:rPr>
        <w:t xml:space="preserve"> 2,4-D.</w:t>
      </w:r>
      <w:r w:rsidR="00552A7C" w:rsidRPr="00767481">
        <w:rPr>
          <w:rFonts w:eastAsia="Times New Roman" w:cstheme="minorHAnsi"/>
          <w:color w:val="000000"/>
        </w:rPr>
        <w:t xml:space="preserve">  </w:t>
      </w:r>
      <w:hyperlink r:id="rId16" w:history="1">
        <w:r w:rsidR="00552A7C" w:rsidRPr="00767481">
          <w:rPr>
            <w:rStyle w:val="Hyperlink"/>
            <w:rFonts w:eastAsia="Times New Roman" w:cstheme="minorHAnsi"/>
          </w:rPr>
          <w:t>Maternal residential exposure to specific agricultural pesticide active ingredients and birth defects in a 2003–2005 North Carolina birth cohort</w:t>
        </w:r>
      </w:hyperlink>
      <w:r w:rsidR="00C12041" w:rsidRPr="00767481">
        <w:rPr>
          <w:rFonts w:eastAsia="Times New Roman" w:cstheme="minorHAnsi"/>
          <w:color w:val="000000"/>
        </w:rPr>
        <w:t xml:space="preserve">. </w:t>
      </w:r>
      <w:r w:rsidR="00C12041" w:rsidRPr="00767481">
        <w:rPr>
          <w:rFonts w:eastAsia="Times New Roman" w:cstheme="minorHAnsi"/>
          <w:i/>
          <w:iCs/>
          <w:color w:val="000000"/>
        </w:rPr>
        <w:t>Birth Defects Research</w:t>
      </w:r>
      <w:r w:rsidR="00C12041" w:rsidRPr="00767481">
        <w:rPr>
          <w:rFonts w:eastAsia="Times New Roman" w:cstheme="minorHAnsi"/>
          <w:color w:val="000000"/>
        </w:rPr>
        <w:t>, 2019.</w:t>
      </w:r>
    </w:p>
    <w:p w14:paraId="5BBC792A" w14:textId="0C17B1B0"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Breast cancer</w:t>
      </w:r>
    </w:p>
    <w:p w14:paraId="68812F39"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 xml:space="preserve">Case-control study of breast cancer in California farm workers found “suggestive increases” in breast cancer risk “were seen for a </w:t>
      </w:r>
      <w:proofErr w:type="spellStart"/>
      <w:r w:rsidRPr="005B4C52">
        <w:rPr>
          <w:rFonts w:eastAsia="Times New Roman" w:cstheme="minorHAnsi"/>
          <w:color w:val="000000"/>
        </w:rPr>
        <w:t>phenoxyacetic</w:t>
      </w:r>
      <w:proofErr w:type="spellEnd"/>
      <w:r w:rsidRPr="005B4C52">
        <w:rPr>
          <w:rFonts w:eastAsia="Times New Roman" w:cstheme="minorHAnsi"/>
          <w:color w:val="000000"/>
        </w:rPr>
        <w:t xml:space="preserve"> acid herbicide, 2, 4-D, an organophosphate, malathion, and an organochlorine insecticide, chlordane, ” and that the “risk associated with chemical use was stronger in younger women, those with early-onset breast cancer, and those diagnosed earlier.” </w:t>
      </w:r>
      <w:hyperlink r:id="rId17" w:tgtFrame="_blank" w:history="1">
        <w:r w:rsidRPr="005B4C52">
          <w:rPr>
            <w:rFonts w:eastAsia="Times New Roman" w:cstheme="minorHAnsi"/>
            <w:color w:val="2069BB"/>
            <w:u w:val="single"/>
          </w:rPr>
          <w:t>Breast Cancer Risk in Hispanic Agricultural Workers in California</w:t>
        </w:r>
      </w:hyperlink>
      <w:r w:rsidRPr="005B4C52">
        <w:rPr>
          <w:rFonts w:eastAsia="Times New Roman" w:cstheme="minorHAnsi"/>
          <w:color w:val="000000"/>
        </w:rPr>
        <w:t>. </w:t>
      </w:r>
      <w:r w:rsidRPr="005B4C52">
        <w:rPr>
          <w:rFonts w:eastAsia="Times New Roman" w:cstheme="minorHAnsi"/>
          <w:i/>
          <w:iCs/>
          <w:color w:val="000000"/>
        </w:rPr>
        <w:t>International Journal of Occupational and Environmental Health</w:t>
      </w:r>
      <w:r w:rsidRPr="005B4C52">
        <w:rPr>
          <w:rFonts w:eastAsia="Times New Roman" w:cstheme="minorHAnsi"/>
          <w:color w:val="000000"/>
        </w:rPr>
        <w:t>, 2013.</w:t>
      </w:r>
    </w:p>
    <w:p w14:paraId="3EFD9E49"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Gastric cancer</w:t>
      </w:r>
    </w:p>
    <w:p w14:paraId="22AE24AC"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 xml:space="preserve">Nested case-control study of gastric cancer found that “Working in areas with high use of the </w:t>
      </w:r>
      <w:proofErr w:type="spellStart"/>
      <w:r w:rsidRPr="005B4C52">
        <w:rPr>
          <w:rFonts w:eastAsia="Times New Roman" w:cstheme="minorHAnsi"/>
          <w:color w:val="000000"/>
        </w:rPr>
        <w:t>phenoxyacetic</w:t>
      </w:r>
      <w:proofErr w:type="spellEnd"/>
      <w:r w:rsidRPr="005B4C52">
        <w:rPr>
          <w:rFonts w:eastAsia="Times New Roman" w:cstheme="minorHAnsi"/>
          <w:color w:val="000000"/>
        </w:rPr>
        <w:t xml:space="preserve"> acid herbicide 2, 4-D was associated with gastric cancer…” </w:t>
      </w:r>
      <w:hyperlink r:id="rId18" w:tgtFrame="_blank" w:history="1">
        <w:r w:rsidRPr="005B4C52">
          <w:rPr>
            <w:rFonts w:eastAsia="Times New Roman" w:cstheme="minorHAnsi"/>
            <w:color w:val="2069BB"/>
            <w:u w:val="single"/>
          </w:rPr>
          <w:t>Agricultural exposures and gastric cancer risk in Hispanic farm workers in California</w:t>
        </w:r>
      </w:hyperlink>
      <w:r w:rsidRPr="005B4C52">
        <w:rPr>
          <w:rFonts w:eastAsia="Times New Roman" w:cstheme="minorHAnsi"/>
          <w:color w:val="000000"/>
        </w:rPr>
        <w:t>. </w:t>
      </w:r>
      <w:r w:rsidRPr="005B4C52">
        <w:rPr>
          <w:rFonts w:eastAsia="Times New Roman" w:cstheme="minorHAnsi"/>
          <w:i/>
          <w:iCs/>
          <w:color w:val="000000"/>
        </w:rPr>
        <w:t>Environmental Research</w:t>
      </w:r>
      <w:r w:rsidRPr="005B4C52">
        <w:rPr>
          <w:rFonts w:eastAsia="Times New Roman" w:cstheme="minorHAnsi"/>
          <w:color w:val="000000"/>
        </w:rPr>
        <w:t>, 2007.</w:t>
      </w:r>
    </w:p>
    <w:p w14:paraId="0DC19F46"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Parkinson’s disease</w:t>
      </w:r>
    </w:p>
    <w:p w14:paraId="5807EA2A" w14:textId="59DE7AE8"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 xml:space="preserve">Case-control study investigating the risk of </w:t>
      </w:r>
      <w:r w:rsidR="003F776B" w:rsidRPr="00767481">
        <w:rPr>
          <w:rFonts w:eastAsia="Times New Roman" w:cstheme="minorHAnsi"/>
          <w:color w:val="000000"/>
        </w:rPr>
        <w:t>P</w:t>
      </w:r>
      <w:r w:rsidRPr="005B4C52">
        <w:rPr>
          <w:rFonts w:eastAsia="Times New Roman" w:cstheme="minorHAnsi"/>
          <w:color w:val="000000"/>
        </w:rPr>
        <w:t>arkinsonism in occupations found “Three individual compounds, the organochlorine 2, 4-dichlorophenoxyacetic acid, the herbicide paraquat, and the insecticide and acaricide permethrin, were associated with more than a 3-fold increased risk of disease”. </w:t>
      </w:r>
      <w:hyperlink r:id="rId19" w:tgtFrame="_blank" w:history="1">
        <w:r w:rsidRPr="005B4C52">
          <w:rPr>
            <w:rFonts w:eastAsia="Times New Roman" w:cstheme="minorHAnsi"/>
            <w:color w:val="2069BB"/>
            <w:u w:val="single"/>
          </w:rPr>
          <w:t>Occupation and Risk of Parkinsonism: A Multicenter Case-Control Study</w:t>
        </w:r>
      </w:hyperlink>
      <w:r w:rsidRPr="005B4C52">
        <w:rPr>
          <w:rFonts w:eastAsia="Times New Roman" w:cstheme="minorHAnsi"/>
          <w:color w:val="000000"/>
        </w:rPr>
        <w:t>. </w:t>
      </w:r>
      <w:r w:rsidRPr="005B4C52">
        <w:rPr>
          <w:rFonts w:eastAsia="Times New Roman" w:cstheme="minorHAnsi"/>
          <w:i/>
          <w:iCs/>
          <w:color w:val="000000"/>
        </w:rPr>
        <w:t>Journal of the American Medical Association</w:t>
      </w:r>
      <w:r w:rsidRPr="005B4C52">
        <w:rPr>
          <w:rFonts w:eastAsia="Times New Roman" w:cstheme="minorHAnsi"/>
          <w:color w:val="000000"/>
        </w:rPr>
        <w:t>, 2009.</w:t>
      </w:r>
    </w:p>
    <w:p w14:paraId="42AF2DC4"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Amyotrophic lateral sclerosis</w:t>
      </w:r>
    </w:p>
    <w:p w14:paraId="557B903E"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lastRenderedPageBreak/>
        <w:t xml:space="preserve">Large nationwide study published in the journal </w:t>
      </w:r>
      <w:proofErr w:type="spellStart"/>
      <w:r w:rsidRPr="005B4C52">
        <w:rPr>
          <w:rFonts w:eastAsia="Times New Roman" w:cstheme="minorHAnsi"/>
          <w:color w:val="000000"/>
        </w:rPr>
        <w:t>NeuroToxicology</w:t>
      </w:r>
      <w:proofErr w:type="spellEnd"/>
      <w:r w:rsidRPr="005B4C52">
        <w:rPr>
          <w:rFonts w:eastAsia="Times New Roman" w:cstheme="minorHAnsi"/>
          <w:color w:val="000000"/>
        </w:rPr>
        <w:t xml:space="preserve"> (December 2021) reports that “several neurotoxic pesticide exposures estimated using residential location were </w:t>
      </w:r>
      <w:hyperlink r:id="rId20" w:tgtFrame="_blank" w:history="1">
        <w:r w:rsidRPr="005B4C52">
          <w:rPr>
            <w:rFonts w:eastAsia="Times New Roman" w:cstheme="minorHAnsi"/>
            <w:color w:val="2069BB"/>
            <w:u w:val="single"/>
          </w:rPr>
          <w:t>associated with statistically significant increased risk of ALS</w:t>
        </w:r>
      </w:hyperlink>
      <w:r w:rsidRPr="005B4C52">
        <w:rPr>
          <w:rFonts w:eastAsia="Times New Roman" w:cstheme="minorHAnsi"/>
          <w:color w:val="000000"/>
        </w:rPr>
        <w:t> (amyotrophic lateral sclerosis). These include the herbicides 2, 4-D and glyphosate, and the insecticides carbaryl and chlorpyrifos.” ALS is a progressive nervous system disease that affects nerve cells in the brain and spinal cord, causing loss of muscle control. </w:t>
      </w:r>
      <w:hyperlink r:id="rId21" w:tgtFrame="_blank" w:history="1">
        <w:r w:rsidRPr="005B4C52">
          <w:rPr>
            <w:rFonts w:eastAsia="Times New Roman" w:cstheme="minorHAnsi"/>
            <w:color w:val="2069BB"/>
            <w:u w:val="single"/>
          </w:rPr>
          <w:t xml:space="preserve">Pesticides applied to crops and amyotrophic lateral sclerosis risk in the </w:t>
        </w:r>
        <w:proofErr w:type="spellStart"/>
        <w:r w:rsidRPr="005B4C52">
          <w:rPr>
            <w:rFonts w:eastAsia="Times New Roman" w:cstheme="minorHAnsi"/>
            <w:color w:val="2069BB"/>
            <w:u w:val="single"/>
          </w:rPr>
          <w:t>U.S.</w:t>
        </w:r>
      </w:hyperlink>
      <w:r w:rsidRPr="005B4C52">
        <w:rPr>
          <w:rFonts w:eastAsia="Times New Roman" w:cstheme="minorHAnsi"/>
          <w:i/>
          <w:iCs/>
          <w:color w:val="000000"/>
        </w:rPr>
        <w:t>NeuroToxicology</w:t>
      </w:r>
      <w:proofErr w:type="spellEnd"/>
      <w:r w:rsidRPr="005B4C52">
        <w:rPr>
          <w:rFonts w:eastAsia="Times New Roman" w:cstheme="minorHAnsi"/>
          <w:color w:val="000000"/>
        </w:rPr>
        <w:t>, December, 2021.</w:t>
      </w:r>
    </w:p>
    <w:p w14:paraId="005984C7"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Endocrine disruption/thyroid</w:t>
      </w:r>
    </w:p>
    <w:p w14:paraId="2E1AD8D0" w14:textId="1D60ACE5"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Study of the association between pesticide use and thyroid diseases found “increased odds of hypothyroidism with ever-use of the herbicides 2, 4-D, 2, 4, 5-T, 2, 4, 5-TP, alachlor, dicamba, and petroleum oil.” </w:t>
      </w:r>
      <w:hyperlink r:id="rId22" w:tgtFrame="_blank" w:history="1">
        <w:r w:rsidRPr="005B4C52">
          <w:rPr>
            <w:rFonts w:eastAsia="Times New Roman" w:cstheme="minorHAnsi"/>
            <w:color w:val="2069BB"/>
            <w:u w:val="single"/>
          </w:rPr>
          <w:t>Hypothyroidism and pesticide use among male private pesticide applicators in the agricultural health study</w:t>
        </w:r>
      </w:hyperlink>
      <w:r w:rsidRPr="005B4C52">
        <w:rPr>
          <w:rFonts w:eastAsia="Times New Roman" w:cstheme="minorHAnsi"/>
          <w:color w:val="000000"/>
        </w:rPr>
        <w:t>. </w:t>
      </w:r>
      <w:r w:rsidRPr="005B4C52">
        <w:rPr>
          <w:rFonts w:eastAsia="Times New Roman" w:cstheme="minorHAnsi"/>
          <w:i/>
          <w:iCs/>
          <w:color w:val="000000"/>
        </w:rPr>
        <w:t>Journal of Occupational and Environmental Medicine</w:t>
      </w:r>
      <w:r w:rsidRPr="005B4C52">
        <w:rPr>
          <w:rFonts w:eastAsia="Times New Roman" w:cstheme="minorHAnsi"/>
          <w:color w:val="000000"/>
        </w:rPr>
        <w:t>, 2013.</w:t>
      </w:r>
      <w:r w:rsidR="003A4C66" w:rsidRPr="00767481">
        <w:rPr>
          <w:rFonts w:eastAsia="Times New Roman" w:cstheme="minorHAnsi"/>
          <w:color w:val="000000"/>
        </w:rPr>
        <w:t xml:space="preserve">  </w:t>
      </w:r>
      <w:r w:rsidR="003A4C66" w:rsidRPr="00767481">
        <w:rPr>
          <w:rFonts w:eastAsia="Times New Roman" w:cstheme="minorHAnsi"/>
          <w:color w:val="000000"/>
        </w:rPr>
        <w:t>Dozens of epidemiological, animal, and laboratory studies have shown a link between 2,4-D and thyroid disorders.</w:t>
      </w:r>
    </w:p>
    <w:p w14:paraId="1F9928F4"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Sperm disorders/decreased male fertility</w:t>
      </w:r>
    </w:p>
    <w:p w14:paraId="51C4D432" w14:textId="2FCA008C"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 xml:space="preserve">Study of the reproductive function of 32 male farmers exposed to 2, 4-D found that “2, 4-D can affect spermatogenesis in occupationally exposed farmers. The decrease of fertility in exposed subjects results from </w:t>
      </w:r>
      <w:r w:rsidR="00C462CF" w:rsidRPr="00767481">
        <w:rPr>
          <w:rFonts w:eastAsia="Times New Roman" w:cstheme="minorHAnsi"/>
          <w:color w:val="000000"/>
        </w:rPr>
        <w:t xml:space="preserve">pathologic changes in sperm, specifically an </w:t>
      </w:r>
      <w:r w:rsidRPr="005B4C52">
        <w:rPr>
          <w:rFonts w:eastAsia="Times New Roman" w:cstheme="minorHAnsi"/>
          <w:color w:val="000000"/>
        </w:rPr>
        <w:t>increase and permanence over time of abnormal spermatozoa.” </w:t>
      </w:r>
      <w:hyperlink r:id="rId23" w:tgtFrame="_blank" w:history="1">
        <w:r w:rsidRPr="005B4C52">
          <w:rPr>
            <w:rFonts w:eastAsia="Times New Roman" w:cstheme="minorHAnsi"/>
            <w:color w:val="2069BB"/>
            <w:u w:val="single"/>
          </w:rPr>
          <w:t>Study of reproductive function in persons occupationally exposed to 2, 4-dichlorophenoxyacetic acid (2, 4-D)</w:t>
        </w:r>
      </w:hyperlink>
      <w:r w:rsidRPr="005B4C52">
        <w:rPr>
          <w:rFonts w:eastAsia="Times New Roman" w:cstheme="minorHAnsi"/>
          <w:color w:val="000000"/>
        </w:rPr>
        <w:t>. </w:t>
      </w:r>
      <w:r w:rsidRPr="005B4C52">
        <w:rPr>
          <w:rFonts w:eastAsia="Times New Roman" w:cstheme="minorHAnsi"/>
          <w:i/>
          <w:iCs/>
          <w:color w:val="000000"/>
        </w:rPr>
        <w:t>Mutation Research Letters</w:t>
      </w:r>
      <w:r w:rsidRPr="005B4C52">
        <w:rPr>
          <w:rFonts w:eastAsia="Times New Roman" w:cstheme="minorHAnsi"/>
          <w:color w:val="000000"/>
        </w:rPr>
        <w:t>, 1991.</w:t>
      </w:r>
    </w:p>
    <w:p w14:paraId="070D54A0"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Lipid/glucose metabolism/heart risk</w:t>
      </w:r>
    </w:p>
    <w:p w14:paraId="257440D0" w14:textId="4E0BE9A0"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 xml:space="preserve">Study on the toxicity of </w:t>
      </w:r>
      <w:proofErr w:type="spellStart"/>
      <w:r w:rsidRPr="005B4C52">
        <w:rPr>
          <w:rFonts w:eastAsia="Times New Roman" w:cstheme="minorHAnsi"/>
          <w:color w:val="000000"/>
        </w:rPr>
        <w:t>chlorophenoxy</w:t>
      </w:r>
      <w:proofErr w:type="spellEnd"/>
      <w:r w:rsidRPr="005B4C52">
        <w:rPr>
          <w:rFonts w:eastAsia="Times New Roman" w:cstheme="minorHAnsi"/>
          <w:color w:val="000000"/>
        </w:rPr>
        <w:t xml:space="preserve"> herbicides using linear regression found that “exposure to 2, 4-D was associated with changes in biomarkers that</w:t>
      </w:r>
      <w:r w:rsidR="003F776B" w:rsidRPr="00767481">
        <w:rPr>
          <w:rFonts w:eastAsia="Times New Roman" w:cstheme="minorHAnsi"/>
          <w:color w:val="000000"/>
        </w:rPr>
        <w:t xml:space="preserve"> </w:t>
      </w:r>
      <w:r w:rsidRPr="005B4C52">
        <w:rPr>
          <w:rFonts w:eastAsia="Times New Roman" w:cstheme="minorHAnsi"/>
          <w:color w:val="000000"/>
        </w:rPr>
        <w:t>have been linked to risk factors for acute myocardial infarction and type-2 diabetes.” </w:t>
      </w:r>
      <w:hyperlink r:id="rId24" w:tgtFrame="_blank" w:history="1">
        <w:r w:rsidRPr="005B4C52">
          <w:rPr>
            <w:rFonts w:eastAsia="Times New Roman" w:cstheme="minorHAnsi"/>
            <w:color w:val="2069BB"/>
            <w:u w:val="single"/>
          </w:rPr>
          <w:t>Perturbation of lipids and glucose metabolism associated with previous 2, 4-D exposure: a cross-sectional study of NHANE</w:t>
        </w:r>
        <w:r w:rsidRPr="005B4C52">
          <w:rPr>
            <w:rFonts w:eastAsia="Times New Roman" w:cstheme="minorHAnsi"/>
            <w:color w:val="2069BB"/>
            <w:u w:val="single"/>
          </w:rPr>
          <w:t>S</w:t>
        </w:r>
        <w:r w:rsidRPr="005B4C52">
          <w:rPr>
            <w:rFonts w:eastAsia="Times New Roman" w:cstheme="minorHAnsi"/>
            <w:color w:val="2069BB"/>
            <w:u w:val="single"/>
          </w:rPr>
          <w:t xml:space="preserve"> III data, 1988-1994</w:t>
        </w:r>
      </w:hyperlink>
      <w:r w:rsidRPr="005B4C52">
        <w:rPr>
          <w:rFonts w:eastAsia="Times New Roman" w:cstheme="minorHAnsi"/>
          <w:color w:val="000000"/>
        </w:rPr>
        <w:t>. </w:t>
      </w:r>
      <w:r w:rsidRPr="005B4C52">
        <w:rPr>
          <w:rFonts w:eastAsia="Times New Roman" w:cstheme="minorHAnsi"/>
          <w:i/>
          <w:iCs/>
          <w:color w:val="000000"/>
        </w:rPr>
        <w:t>Environmental Health</w:t>
      </w:r>
      <w:r w:rsidRPr="005B4C52">
        <w:rPr>
          <w:rFonts w:eastAsia="Times New Roman" w:cstheme="minorHAnsi"/>
          <w:color w:val="000000"/>
        </w:rPr>
        <w:t>, 2010.</w:t>
      </w:r>
    </w:p>
    <w:p w14:paraId="77E7385C"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Immunosuppression</w:t>
      </w:r>
    </w:p>
    <w:p w14:paraId="7C6A2897"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t>Study of blood samples from farmers found that “exposure to commercial 2, 4-dichlorophenoxyacetic acid (2, 4-D) and 4-chloro-2-methylphenoxyacetic acid (MCPA) formulations may exert short term immunosuppressive effects.” </w:t>
      </w:r>
      <w:hyperlink r:id="rId25" w:tgtFrame="_blank" w:history="1">
        <w:r w:rsidRPr="005B4C52">
          <w:rPr>
            <w:rFonts w:eastAsia="Times New Roman" w:cstheme="minorHAnsi"/>
            <w:color w:val="2069BB"/>
            <w:u w:val="single"/>
          </w:rPr>
          <w:t>Immunological changes among farmers exposed to phenoxy herbicides: preliminary observations</w:t>
        </w:r>
      </w:hyperlink>
      <w:r w:rsidRPr="005B4C52">
        <w:rPr>
          <w:rFonts w:eastAsia="Times New Roman" w:cstheme="minorHAnsi"/>
          <w:color w:val="000000"/>
        </w:rPr>
        <w:t>. </w:t>
      </w:r>
      <w:r w:rsidRPr="005B4C52">
        <w:rPr>
          <w:rFonts w:eastAsia="Times New Roman" w:cstheme="minorHAnsi"/>
          <w:i/>
          <w:iCs/>
          <w:color w:val="000000"/>
        </w:rPr>
        <w:t>Occupational and Environmental Medicine</w:t>
      </w:r>
      <w:r w:rsidRPr="005B4C52">
        <w:rPr>
          <w:rFonts w:eastAsia="Times New Roman" w:cstheme="minorHAnsi"/>
          <w:color w:val="000000"/>
        </w:rPr>
        <w:t>, 1996.</w:t>
      </w:r>
    </w:p>
    <w:p w14:paraId="0FA41CC6" w14:textId="77777777" w:rsidR="005B4C52" w:rsidRPr="005B4C52" w:rsidRDefault="005B4C52" w:rsidP="005B4C52">
      <w:pPr>
        <w:spacing w:after="100" w:afterAutospacing="1"/>
        <w:outlineLvl w:val="2"/>
        <w:rPr>
          <w:rFonts w:eastAsia="Times New Roman" w:cstheme="minorHAnsi"/>
          <w:b/>
          <w:bCs/>
          <w:color w:val="000000"/>
          <w:sz w:val="27"/>
          <w:szCs w:val="27"/>
        </w:rPr>
      </w:pPr>
      <w:r w:rsidRPr="005B4C52">
        <w:rPr>
          <w:rFonts w:eastAsia="Times New Roman" w:cstheme="minorHAnsi"/>
          <w:b/>
          <w:bCs/>
          <w:color w:val="000000"/>
          <w:sz w:val="27"/>
          <w:szCs w:val="27"/>
        </w:rPr>
        <w:t>Microbiome perturbations in mice</w:t>
      </w:r>
    </w:p>
    <w:p w14:paraId="25F08B68" w14:textId="77777777" w:rsidR="005B4C52" w:rsidRPr="005B4C52" w:rsidRDefault="005B4C52" w:rsidP="005B4C52">
      <w:pPr>
        <w:spacing w:after="100" w:afterAutospacing="1"/>
        <w:rPr>
          <w:rFonts w:eastAsia="Times New Roman" w:cstheme="minorHAnsi"/>
          <w:color w:val="000000"/>
        </w:rPr>
      </w:pPr>
      <w:r w:rsidRPr="005B4C52">
        <w:rPr>
          <w:rFonts w:eastAsia="Times New Roman" w:cstheme="minorHAnsi"/>
          <w:color w:val="000000"/>
        </w:rPr>
        <w:lastRenderedPageBreak/>
        <w:t>Study of sub-chronic low-dose 2, 4-D exposure in a mouse model “revealed a distinct gut microbial community with profound changes in diverse microbial pathways including urea degradation, amino acid and carbohydrate metabolism in 2, 4-D-treated mice. Moreover, the metabolomics results revealed that the metabolic profiles in treatment group were differentiated from control group in both fecal and plasma samples. Toxic effects on the host of 2, 4-D at an occupationally relevant dose were observed indicated by decreased acylcarnitine levels in plasma. These findings indicated that 2, 4-D can cause toxicity and substantially impact the gut microbiome in mice at occupationally relevant doses”. </w:t>
      </w:r>
      <w:proofErr w:type="spellStart"/>
      <w:r w:rsidRPr="005B4C52">
        <w:rPr>
          <w:rFonts w:eastAsia="Times New Roman" w:cstheme="minorHAnsi"/>
          <w:color w:val="000000"/>
        </w:rPr>
        <w:fldChar w:fldCharType="begin"/>
      </w:r>
      <w:r w:rsidRPr="005B4C52">
        <w:rPr>
          <w:rFonts w:eastAsia="Times New Roman" w:cstheme="minorHAnsi"/>
          <w:color w:val="000000"/>
        </w:rPr>
        <w:instrText xml:space="preserve"> HYPERLINK "https://www.nature.com/articles/s41598-019-40776-3" \t "_blank" </w:instrText>
      </w:r>
      <w:r w:rsidRPr="005B4C52">
        <w:rPr>
          <w:rFonts w:eastAsia="Times New Roman" w:cstheme="minorHAnsi"/>
          <w:color w:val="000000"/>
        </w:rPr>
        <w:fldChar w:fldCharType="separate"/>
      </w:r>
      <w:r w:rsidRPr="005B4C52">
        <w:rPr>
          <w:rFonts w:eastAsia="Times New Roman" w:cstheme="minorHAnsi"/>
          <w:color w:val="2069BB"/>
          <w:u w:val="single"/>
        </w:rPr>
        <w:t>Subchronic</w:t>
      </w:r>
      <w:proofErr w:type="spellEnd"/>
      <w:r w:rsidRPr="005B4C52">
        <w:rPr>
          <w:rFonts w:eastAsia="Times New Roman" w:cstheme="minorHAnsi"/>
          <w:color w:val="2069BB"/>
          <w:u w:val="single"/>
        </w:rPr>
        <w:t xml:space="preserve"> low-dose 2, 4-D exposure changed plasma acylcarnitine levels and induced gut microbiome perturbations in mice</w:t>
      </w:r>
      <w:r w:rsidRPr="005B4C52">
        <w:rPr>
          <w:rFonts w:eastAsia="Times New Roman" w:cstheme="minorHAnsi"/>
          <w:color w:val="000000"/>
        </w:rPr>
        <w:fldChar w:fldCharType="end"/>
      </w:r>
      <w:r w:rsidRPr="005B4C52">
        <w:rPr>
          <w:rFonts w:eastAsia="Times New Roman" w:cstheme="minorHAnsi"/>
          <w:color w:val="000000"/>
        </w:rPr>
        <w:t>.</w:t>
      </w:r>
      <w:r w:rsidRPr="005B4C52">
        <w:rPr>
          <w:rFonts w:eastAsia="Times New Roman" w:cstheme="minorHAnsi"/>
          <w:i/>
          <w:iCs/>
          <w:color w:val="000000"/>
        </w:rPr>
        <w:t> Scientific Reports</w:t>
      </w:r>
      <w:r w:rsidRPr="005B4C52">
        <w:rPr>
          <w:rFonts w:eastAsia="Times New Roman" w:cstheme="minorHAnsi"/>
          <w:color w:val="000000"/>
        </w:rPr>
        <w:t>, 2019.</w:t>
      </w:r>
    </w:p>
    <w:p w14:paraId="1820E675" w14:textId="452B5E08" w:rsidR="005B4C52" w:rsidRPr="00767481" w:rsidRDefault="003F776B" w:rsidP="005B4C52">
      <w:pPr>
        <w:rPr>
          <w:rFonts w:eastAsia="Times New Roman" w:cstheme="minorHAnsi"/>
        </w:rPr>
      </w:pPr>
      <w:r w:rsidRPr="00767481">
        <w:rPr>
          <w:rFonts w:eastAsia="Times New Roman" w:cstheme="minorHAnsi"/>
        </w:rPr>
        <w:t>Although many of these studies pertain to occupationally exposed adults, they make the case that these pesticides are biologic poisons to humans.  And while one assumes that occupational exposure is greater than what the public would be subjected to from us</w:t>
      </w:r>
      <w:r w:rsidR="00FF781C" w:rsidRPr="00767481">
        <w:rPr>
          <w:rFonts w:eastAsia="Times New Roman" w:cstheme="minorHAnsi"/>
        </w:rPr>
        <w:t>e of</w:t>
      </w:r>
      <w:r w:rsidRPr="00767481">
        <w:rPr>
          <w:rFonts w:eastAsia="Times New Roman" w:cstheme="minorHAnsi"/>
        </w:rPr>
        <w:t xml:space="preserve"> these chemicals in the Parley’s watershed, </w:t>
      </w:r>
      <w:r w:rsidR="00FF781C" w:rsidRPr="00767481">
        <w:rPr>
          <w:rFonts w:eastAsia="Times New Roman" w:cstheme="minorHAnsi"/>
        </w:rPr>
        <w:t>consumers of water from that watershed include fetuses, infants, and children.  They are at risk from orders of magnitude smaller exposure concentrations than for an occupationally exposed adult.</w:t>
      </w:r>
    </w:p>
    <w:p w14:paraId="2BC34328" w14:textId="7CF41EBC" w:rsidR="002F471F" w:rsidRPr="00767481" w:rsidRDefault="002F471F" w:rsidP="005B4C52">
      <w:pPr>
        <w:rPr>
          <w:rFonts w:eastAsia="Times New Roman" w:cstheme="minorHAnsi"/>
        </w:rPr>
      </w:pPr>
    </w:p>
    <w:p w14:paraId="3C4BFDE5" w14:textId="418BFDF0" w:rsidR="002F471F" w:rsidRPr="005B4C52" w:rsidRDefault="002F471F" w:rsidP="005B4C52">
      <w:pPr>
        <w:rPr>
          <w:rFonts w:eastAsia="Times New Roman" w:cstheme="minorHAnsi"/>
        </w:rPr>
      </w:pPr>
      <w:r w:rsidRPr="00767481">
        <w:rPr>
          <w:rFonts w:eastAsia="Times New Roman" w:cstheme="minorHAnsi"/>
        </w:rPr>
        <w:t>There is some evidence of synergism in genotoxicity between 2,4-D and dicamba.</w:t>
      </w:r>
      <w:r w:rsidRPr="00767481">
        <w:rPr>
          <w:rFonts w:eastAsia="Times New Roman" w:cstheme="minorHAnsi"/>
          <w:vertAlign w:val="superscript"/>
        </w:rPr>
        <w:t xml:space="preserve">16  </w:t>
      </w:r>
      <w:r w:rsidRPr="00767481">
        <w:rPr>
          <w:rFonts w:eastAsia="Times New Roman" w:cstheme="minorHAnsi"/>
        </w:rPr>
        <w:t>Perhaps synergism in its effect on plants is why the combination was selected, but synergism in efficacy on target plants also likely means synergism in human toxicity.</w:t>
      </w:r>
    </w:p>
    <w:p w14:paraId="460758F3" w14:textId="77777777" w:rsidR="005B4C52" w:rsidRPr="00767481" w:rsidRDefault="005B4C52" w:rsidP="0023757E">
      <w:pPr>
        <w:rPr>
          <w:rFonts w:cstheme="minorHAnsi"/>
        </w:rPr>
      </w:pPr>
    </w:p>
    <w:p w14:paraId="798956C6" w14:textId="14627B8A" w:rsidR="0023757E" w:rsidRPr="00767481" w:rsidRDefault="00A45E0A" w:rsidP="00A45E0A">
      <w:pPr>
        <w:tabs>
          <w:tab w:val="left" w:pos="540"/>
        </w:tabs>
        <w:rPr>
          <w:rFonts w:eastAsia="Times New Roman" w:cstheme="minorHAnsi"/>
          <w:b/>
          <w:bCs/>
          <w:color w:val="2B2B2B"/>
          <w:spacing w:val="1"/>
          <w:sz w:val="28"/>
          <w:szCs w:val="28"/>
          <w:shd w:val="clear" w:color="auto" w:fill="FFFFFF"/>
        </w:rPr>
      </w:pPr>
      <w:r w:rsidRPr="00767481">
        <w:rPr>
          <w:rFonts w:eastAsia="Times New Roman" w:cstheme="minorHAnsi"/>
          <w:b/>
          <w:bCs/>
          <w:color w:val="2B2B2B"/>
          <w:spacing w:val="1"/>
          <w:sz w:val="28"/>
          <w:szCs w:val="28"/>
          <w:shd w:val="clear" w:color="auto" w:fill="FFFFFF"/>
        </w:rPr>
        <w:t>Overall cancer risks with pesticides in general</w:t>
      </w:r>
    </w:p>
    <w:p w14:paraId="497B76F6" w14:textId="77777777" w:rsidR="0023757E" w:rsidRPr="007A6CAE" w:rsidRDefault="0023757E" w:rsidP="00A45E0A">
      <w:pPr>
        <w:tabs>
          <w:tab w:val="left" w:pos="540"/>
        </w:tabs>
        <w:rPr>
          <w:rFonts w:eastAsia="Times New Roman" w:cstheme="minorHAnsi"/>
          <w:b/>
          <w:bCs/>
          <w:color w:val="2B2B2B"/>
          <w:spacing w:val="1"/>
          <w:sz w:val="28"/>
          <w:szCs w:val="28"/>
          <w:shd w:val="clear" w:color="auto" w:fill="FFFFFF"/>
        </w:rPr>
      </w:pPr>
    </w:p>
    <w:p w14:paraId="3E87EB03" w14:textId="5484F57C" w:rsidR="00C465A4" w:rsidRPr="00767481" w:rsidRDefault="00A45E0A" w:rsidP="007A6CAE">
      <w:pPr>
        <w:rPr>
          <w:rFonts w:eastAsia="Times New Roman" w:cstheme="minorHAnsi"/>
          <w:vertAlign w:val="superscript"/>
        </w:rPr>
      </w:pPr>
      <w:r w:rsidRPr="00767481">
        <w:rPr>
          <w:rFonts w:eastAsia="Times New Roman" w:cstheme="minorHAnsi"/>
        </w:rPr>
        <w:t xml:space="preserve">In an extensive review of the </w:t>
      </w:r>
      <w:r w:rsidR="00C465A4" w:rsidRPr="00767481">
        <w:rPr>
          <w:rFonts w:eastAsia="Times New Roman" w:cstheme="minorHAnsi"/>
        </w:rPr>
        <w:t xml:space="preserve">research published between 2017 and 2021, multiple types of cancer were associated with increased exposure to both insecticides and herbicides, with the likely mechanisms including </w:t>
      </w:r>
      <w:r w:rsidR="00C465A4" w:rsidRPr="00767481">
        <w:rPr>
          <w:rFonts w:eastAsia="Times New Roman" w:cstheme="minorHAnsi"/>
        </w:rPr>
        <w:t>genotoxicity, hormone disruption</w:t>
      </w:r>
      <w:r w:rsidR="00C465A4" w:rsidRPr="00767481">
        <w:rPr>
          <w:rFonts w:eastAsia="Times New Roman" w:cstheme="minorHAnsi"/>
        </w:rPr>
        <w:t xml:space="preserve">, </w:t>
      </w:r>
      <w:r w:rsidR="00C465A4" w:rsidRPr="00767481">
        <w:rPr>
          <w:rFonts w:eastAsia="Times New Roman" w:cstheme="minorHAnsi"/>
        </w:rPr>
        <w:t xml:space="preserve">oxidative stress, inflammation, </w:t>
      </w:r>
      <w:r w:rsidR="00C465A4" w:rsidRPr="00767481">
        <w:rPr>
          <w:rFonts w:eastAsia="Times New Roman" w:cstheme="minorHAnsi"/>
        </w:rPr>
        <w:t xml:space="preserve">and </w:t>
      </w:r>
      <w:r w:rsidR="00C465A4" w:rsidRPr="00767481">
        <w:rPr>
          <w:rFonts w:eastAsia="Times New Roman" w:cstheme="minorHAnsi"/>
        </w:rPr>
        <w:t>immune modulation</w:t>
      </w:r>
      <w:r w:rsidR="00C465A4" w:rsidRPr="00767481">
        <w:rPr>
          <w:rFonts w:eastAsia="Times New Roman" w:cstheme="minorHAnsi"/>
        </w:rPr>
        <w:t>.</w:t>
      </w:r>
      <w:r w:rsidR="00C465A4" w:rsidRPr="00767481">
        <w:rPr>
          <w:rFonts w:eastAsia="Times New Roman" w:cstheme="minorHAnsi"/>
          <w:vertAlign w:val="superscript"/>
        </w:rPr>
        <w:t>17</w:t>
      </w:r>
      <w:r w:rsidR="0083009F" w:rsidRPr="00767481">
        <w:rPr>
          <w:rFonts w:eastAsia="Times New Roman" w:cstheme="minorHAnsi"/>
          <w:vertAlign w:val="superscript"/>
        </w:rPr>
        <w:t xml:space="preserve">  </w:t>
      </w:r>
      <w:r w:rsidR="0083009F" w:rsidRPr="00767481">
        <w:rPr>
          <w:rFonts w:eastAsia="Times New Roman" w:cstheme="minorHAnsi"/>
        </w:rPr>
        <w:t xml:space="preserve">These mechanisms are not unique to pesticides, and few cancers are uniquely associated with pesticide exposures.  Rather the role of pesticides in triggering cancer is likely one of adding to the impact of other toxic </w:t>
      </w:r>
      <w:r w:rsidR="00A9535B" w:rsidRPr="00767481">
        <w:rPr>
          <w:rFonts w:eastAsia="Times New Roman" w:cstheme="minorHAnsi"/>
        </w:rPr>
        <w:t xml:space="preserve">environmental </w:t>
      </w:r>
      <w:r w:rsidR="0083009F" w:rsidRPr="00767481">
        <w:rPr>
          <w:rFonts w:eastAsia="Times New Roman" w:cstheme="minorHAnsi"/>
        </w:rPr>
        <w:t>exposures.</w:t>
      </w:r>
      <w:r w:rsidR="00A9535B" w:rsidRPr="00767481">
        <w:rPr>
          <w:rFonts w:eastAsia="Times New Roman" w:cstheme="minorHAnsi"/>
        </w:rPr>
        <w:t xml:space="preserve">  </w:t>
      </w:r>
      <w:r w:rsidR="007C38AF" w:rsidRPr="00767481">
        <w:rPr>
          <w:rFonts w:eastAsia="Times New Roman" w:cstheme="minorHAnsi"/>
        </w:rPr>
        <w:t>But i</w:t>
      </w:r>
      <w:r w:rsidR="00A9535B" w:rsidRPr="00767481">
        <w:rPr>
          <w:rFonts w:eastAsia="Times New Roman" w:cstheme="minorHAnsi"/>
        </w:rPr>
        <w:t>t should be noted that 70-90% of cancers are environmentally caused</w:t>
      </w:r>
      <w:r w:rsidR="000C5FB6" w:rsidRPr="00767481">
        <w:rPr>
          <w:rFonts w:eastAsia="Times New Roman" w:cstheme="minorHAnsi"/>
        </w:rPr>
        <w:t>, the balance being genetic.</w:t>
      </w:r>
      <w:r w:rsidR="007C38AF" w:rsidRPr="00767481">
        <w:rPr>
          <w:rFonts w:eastAsia="Times New Roman" w:cstheme="minorHAnsi"/>
          <w:vertAlign w:val="superscript"/>
        </w:rPr>
        <w:t>18,19</w:t>
      </w:r>
    </w:p>
    <w:p w14:paraId="2DDCE2A3" w14:textId="77777777" w:rsidR="00C465A4" w:rsidRPr="00767481" w:rsidRDefault="00C465A4" w:rsidP="007A6CAE">
      <w:pPr>
        <w:rPr>
          <w:rFonts w:eastAsia="Times New Roman" w:cstheme="minorHAnsi"/>
        </w:rPr>
      </w:pPr>
    </w:p>
    <w:p w14:paraId="10F8A503" w14:textId="66E411C1" w:rsidR="007248B1" w:rsidRPr="007A6CAE" w:rsidRDefault="007C38AF" w:rsidP="007248B1">
      <w:pPr>
        <w:rPr>
          <w:rFonts w:eastAsia="Times New Roman" w:cstheme="minorHAnsi"/>
        </w:rPr>
      </w:pPr>
      <w:r w:rsidRPr="00767481">
        <w:rPr>
          <w:rFonts w:eastAsia="Times New Roman" w:cstheme="minorHAnsi"/>
        </w:rPr>
        <w:t>In this review, two cancers showed the strongest relationship to pesticide exposure, acute myelogenous leukemia and colorectal cancer</w:t>
      </w:r>
      <w:r w:rsidR="00BC06A8" w:rsidRPr="00767481">
        <w:rPr>
          <w:rFonts w:eastAsia="Times New Roman" w:cstheme="minorHAnsi"/>
        </w:rPr>
        <w:t>. T</w:t>
      </w:r>
      <w:r w:rsidRPr="00767481">
        <w:rPr>
          <w:rFonts w:eastAsia="Times New Roman" w:cstheme="minorHAnsi"/>
        </w:rPr>
        <w:t>he latter is appearing in dramatically increased numbers, especially in adults</w:t>
      </w:r>
      <w:r w:rsidR="000C5FB6" w:rsidRPr="00767481">
        <w:rPr>
          <w:rFonts w:eastAsia="Times New Roman" w:cstheme="minorHAnsi"/>
        </w:rPr>
        <w:t xml:space="preserve"> under age 50. </w:t>
      </w:r>
      <w:r w:rsidR="00BC06A8" w:rsidRPr="00767481">
        <w:rPr>
          <w:rFonts w:eastAsia="Times New Roman" w:cstheme="minorHAnsi"/>
        </w:rPr>
        <w:t xml:space="preserve"> </w:t>
      </w:r>
      <w:r w:rsidR="00D03F0E" w:rsidRPr="00767481">
        <w:rPr>
          <w:rFonts w:eastAsia="Times New Roman" w:cstheme="minorHAnsi"/>
        </w:rPr>
        <w:t>After steadily declining until mid-century</w:t>
      </w:r>
      <w:r w:rsidR="00D03F0E" w:rsidRPr="00767481">
        <w:rPr>
          <w:rFonts w:eastAsia="Times New Roman" w:cstheme="minorHAnsi"/>
        </w:rPr>
        <w:t xml:space="preserve">, colon cancer rates have increased </w:t>
      </w:r>
      <w:r w:rsidR="00B939A2" w:rsidRPr="00767481">
        <w:rPr>
          <w:rFonts w:eastAsia="Times New Roman" w:cstheme="minorHAnsi"/>
        </w:rPr>
        <w:t xml:space="preserve">about 2% per year since. </w:t>
      </w:r>
      <w:r w:rsidR="00BC06A8" w:rsidRPr="00767481">
        <w:rPr>
          <w:rFonts w:eastAsia="Times New Roman" w:cstheme="minorHAnsi"/>
        </w:rPr>
        <w:t xml:space="preserve">Adults born </w:t>
      </w:r>
      <w:r w:rsidR="00F42390" w:rsidRPr="00767481">
        <w:rPr>
          <w:rFonts w:eastAsia="Times New Roman" w:cstheme="minorHAnsi"/>
        </w:rPr>
        <w:t>circa 1990 have double the risk of colon cancer, and quadruple the risk of rectal cancer compared to those born circa 1950.</w:t>
      </w:r>
      <w:r w:rsidR="000C5FB6" w:rsidRPr="00767481">
        <w:rPr>
          <w:rFonts w:eastAsia="Times New Roman" w:cstheme="minorHAnsi"/>
        </w:rPr>
        <w:t xml:space="preserve"> Colorectal cancer i</w:t>
      </w:r>
      <w:r w:rsidR="000C5FB6" w:rsidRPr="00767481">
        <w:rPr>
          <w:rFonts w:eastAsia="Times New Roman" w:cstheme="minorHAnsi"/>
        </w:rPr>
        <w:t>s the third most common cancer and second most common cause of cancer deaths worldwide</w:t>
      </w:r>
      <w:r w:rsidR="00BC06A8" w:rsidRPr="00767481">
        <w:rPr>
          <w:rFonts w:eastAsia="Times New Roman" w:cstheme="minorHAnsi"/>
        </w:rPr>
        <w:t>, and young adults are more likely to be diagnosed with late</w:t>
      </w:r>
      <w:r w:rsidR="00F42390" w:rsidRPr="00767481">
        <w:rPr>
          <w:rFonts w:eastAsia="Times New Roman" w:cstheme="minorHAnsi"/>
        </w:rPr>
        <w:t>-</w:t>
      </w:r>
      <w:r w:rsidR="00BC06A8" w:rsidRPr="00767481">
        <w:rPr>
          <w:rFonts w:eastAsia="Times New Roman" w:cstheme="minorHAnsi"/>
        </w:rPr>
        <w:t>stage cancer.</w:t>
      </w:r>
      <w:r w:rsidR="007248B1" w:rsidRPr="00767481">
        <w:rPr>
          <w:rFonts w:eastAsia="Times New Roman" w:cstheme="minorHAnsi"/>
        </w:rPr>
        <w:t xml:space="preserve"> </w:t>
      </w:r>
      <w:r w:rsidR="004A5C61" w:rsidRPr="00767481">
        <w:rPr>
          <w:rFonts w:eastAsia="Times New Roman" w:cstheme="minorHAnsi"/>
        </w:rPr>
        <w:t>The extensive global adoption of GMOs, the increase in pesticides used with them,</w:t>
      </w:r>
      <w:r w:rsidR="007248B1" w:rsidRPr="00767481">
        <w:rPr>
          <w:rFonts w:eastAsia="Times New Roman" w:cstheme="minorHAnsi"/>
        </w:rPr>
        <w:t xml:space="preserve"> and the concomitant alteration of the gut bacterial population is certainly </w:t>
      </w:r>
      <w:r w:rsidR="007248B1" w:rsidRPr="00767481">
        <w:rPr>
          <w:rFonts w:eastAsia="Times New Roman" w:cstheme="minorHAnsi"/>
        </w:rPr>
        <w:t>a</w:t>
      </w:r>
      <w:r w:rsidR="007248B1" w:rsidRPr="00767481">
        <w:rPr>
          <w:rFonts w:eastAsia="Times New Roman" w:cstheme="minorHAnsi"/>
        </w:rPr>
        <w:t xml:space="preserve"> possible contributing explanation to th</w:t>
      </w:r>
      <w:r w:rsidR="007248B1" w:rsidRPr="00767481">
        <w:rPr>
          <w:rFonts w:eastAsia="Times New Roman" w:cstheme="minorHAnsi"/>
        </w:rPr>
        <w:t>is</w:t>
      </w:r>
      <w:r w:rsidR="007248B1" w:rsidRPr="00767481">
        <w:rPr>
          <w:rFonts w:eastAsia="Times New Roman" w:cstheme="minorHAnsi"/>
        </w:rPr>
        <w:t xml:space="preserve"> ominous trend.</w:t>
      </w:r>
      <w:r w:rsidR="007248B1" w:rsidRPr="00767481">
        <w:rPr>
          <w:rFonts w:eastAsia="Times New Roman" w:cstheme="minorHAnsi"/>
          <w:vertAlign w:val="superscript"/>
        </w:rPr>
        <w:t>21,22</w:t>
      </w:r>
      <w:r w:rsidR="007248B1" w:rsidRPr="00767481">
        <w:rPr>
          <w:rFonts w:eastAsia="Times New Roman" w:cstheme="minorHAnsi"/>
        </w:rPr>
        <w:t xml:space="preserve">  </w:t>
      </w:r>
    </w:p>
    <w:p w14:paraId="0F773930" w14:textId="533E0351" w:rsidR="00343EDF" w:rsidRPr="00767481" w:rsidRDefault="00343EDF" w:rsidP="007A6CAE">
      <w:pPr>
        <w:rPr>
          <w:rFonts w:eastAsia="Times New Roman" w:cstheme="minorHAnsi"/>
        </w:rPr>
      </w:pPr>
    </w:p>
    <w:p w14:paraId="6A450C13" w14:textId="75ED2511" w:rsidR="007916C6" w:rsidRPr="00767481" w:rsidRDefault="007916C6" w:rsidP="007A6CAE">
      <w:pPr>
        <w:rPr>
          <w:rFonts w:eastAsia="Times New Roman" w:cstheme="minorHAnsi"/>
        </w:rPr>
      </w:pPr>
    </w:p>
    <w:p w14:paraId="25B3FA28" w14:textId="0490A97A" w:rsidR="007916C6" w:rsidRPr="00767481" w:rsidRDefault="007916C6" w:rsidP="007A6CAE">
      <w:pPr>
        <w:rPr>
          <w:rFonts w:eastAsia="Times New Roman" w:cstheme="minorHAnsi"/>
        </w:rPr>
      </w:pPr>
    </w:p>
    <w:p w14:paraId="1346F1DD" w14:textId="23B95EFD" w:rsidR="00423270" w:rsidRPr="00767481" w:rsidRDefault="00423270" w:rsidP="00FA6E8E">
      <w:pPr>
        <w:rPr>
          <w:rFonts w:eastAsia="Times New Roman" w:cstheme="minorHAnsi"/>
          <w:i/>
          <w:iCs/>
        </w:rPr>
      </w:pPr>
    </w:p>
    <w:p w14:paraId="6562E0AC" w14:textId="1D520CB0" w:rsidR="00767481" w:rsidRDefault="00767481" w:rsidP="00DE3A5D">
      <w:pPr>
        <w:rPr>
          <w:rFonts w:cstheme="minorHAnsi"/>
        </w:rPr>
      </w:pPr>
    </w:p>
    <w:p w14:paraId="6FBD8C7C" w14:textId="77777777" w:rsidR="00767481" w:rsidRPr="00767481" w:rsidRDefault="00767481" w:rsidP="00DE3A5D">
      <w:pPr>
        <w:rPr>
          <w:rFonts w:cstheme="minorHAnsi"/>
        </w:rPr>
      </w:pPr>
    </w:p>
    <w:p w14:paraId="41A0C6D4" w14:textId="77777777" w:rsidR="00767481" w:rsidRDefault="00767481" w:rsidP="00402C5B">
      <w:pPr>
        <w:jc w:val="center"/>
        <w:rPr>
          <w:rFonts w:cstheme="minorHAnsi"/>
          <w:b/>
          <w:bCs/>
          <w:color w:val="000000" w:themeColor="text1"/>
          <w:sz w:val="30"/>
          <w:szCs w:val="30"/>
        </w:rPr>
      </w:pPr>
    </w:p>
    <w:p w14:paraId="0C632931" w14:textId="77777777" w:rsidR="00767481" w:rsidRDefault="00767481" w:rsidP="00402C5B">
      <w:pPr>
        <w:jc w:val="center"/>
        <w:rPr>
          <w:rFonts w:cstheme="minorHAnsi"/>
          <w:b/>
          <w:bCs/>
          <w:color w:val="000000" w:themeColor="text1"/>
          <w:sz w:val="30"/>
          <w:szCs w:val="30"/>
        </w:rPr>
      </w:pPr>
    </w:p>
    <w:p w14:paraId="617EF074" w14:textId="460C6AE2" w:rsidR="00C57D87" w:rsidRPr="00104668" w:rsidRDefault="00402C5B" w:rsidP="00402C5B">
      <w:pPr>
        <w:jc w:val="center"/>
        <w:rPr>
          <w:rFonts w:cstheme="minorHAnsi"/>
          <w:b/>
          <w:bCs/>
          <w:color w:val="000000" w:themeColor="text1"/>
          <w:sz w:val="30"/>
          <w:szCs w:val="30"/>
          <w:u w:val="single"/>
        </w:rPr>
      </w:pPr>
      <w:r w:rsidRPr="00104668">
        <w:rPr>
          <w:rFonts w:cstheme="minorHAnsi"/>
          <w:b/>
          <w:bCs/>
          <w:color w:val="000000" w:themeColor="text1"/>
          <w:sz w:val="30"/>
          <w:szCs w:val="30"/>
          <w:u w:val="single"/>
        </w:rPr>
        <w:t xml:space="preserve">Appendix </w:t>
      </w:r>
    </w:p>
    <w:p w14:paraId="3CC8018F" w14:textId="77777777" w:rsidR="00104668" w:rsidRDefault="00104668" w:rsidP="00C57D87">
      <w:pPr>
        <w:jc w:val="center"/>
        <w:rPr>
          <w:rFonts w:cstheme="minorHAnsi"/>
          <w:b/>
          <w:bCs/>
          <w:color w:val="000000" w:themeColor="text1"/>
          <w:sz w:val="30"/>
          <w:szCs w:val="30"/>
        </w:rPr>
      </w:pPr>
    </w:p>
    <w:p w14:paraId="3B64097F" w14:textId="1F78D4DE" w:rsidR="00402C5B" w:rsidRPr="00767481" w:rsidRDefault="00104668" w:rsidP="00C57D87">
      <w:pPr>
        <w:jc w:val="center"/>
        <w:rPr>
          <w:rFonts w:cstheme="minorHAnsi"/>
          <w:b/>
          <w:bCs/>
          <w:color w:val="000000" w:themeColor="text1"/>
          <w:sz w:val="30"/>
          <w:szCs w:val="30"/>
        </w:rPr>
      </w:pPr>
      <w:r>
        <w:rPr>
          <w:rFonts w:cstheme="minorHAnsi"/>
          <w:b/>
          <w:bCs/>
          <w:color w:val="000000" w:themeColor="text1"/>
          <w:sz w:val="30"/>
          <w:szCs w:val="30"/>
        </w:rPr>
        <w:t>How</w:t>
      </w:r>
      <w:r w:rsidR="00C57D87">
        <w:rPr>
          <w:rFonts w:cstheme="minorHAnsi"/>
          <w:b/>
          <w:bCs/>
          <w:color w:val="000000" w:themeColor="text1"/>
          <w:sz w:val="30"/>
          <w:szCs w:val="30"/>
        </w:rPr>
        <w:t xml:space="preserve"> EPA Fails to Protect the Public From Toxic Chemicals. </w:t>
      </w:r>
    </w:p>
    <w:p w14:paraId="07CD19DE" w14:textId="77777777" w:rsidR="00402C5B" w:rsidRPr="00767481" w:rsidRDefault="00402C5B" w:rsidP="00402C5B">
      <w:pPr>
        <w:rPr>
          <w:rFonts w:cstheme="minorHAnsi"/>
          <w:b/>
          <w:bCs/>
          <w:color w:val="000000" w:themeColor="text1"/>
          <w:sz w:val="26"/>
          <w:szCs w:val="26"/>
        </w:rPr>
      </w:pPr>
    </w:p>
    <w:p w14:paraId="62661896" w14:textId="77777777" w:rsidR="00402C5B" w:rsidRPr="00767481" w:rsidRDefault="00402C5B" w:rsidP="00402C5B">
      <w:pPr>
        <w:rPr>
          <w:rFonts w:cstheme="minorHAnsi"/>
          <w:b/>
          <w:bCs/>
          <w:color w:val="000000" w:themeColor="text1"/>
          <w:sz w:val="26"/>
          <w:szCs w:val="26"/>
        </w:rPr>
      </w:pPr>
    </w:p>
    <w:p w14:paraId="01CA2284" w14:textId="77777777" w:rsidR="00402C5B" w:rsidRPr="00767481" w:rsidRDefault="00402C5B" w:rsidP="00402C5B">
      <w:pPr>
        <w:jc w:val="center"/>
        <w:rPr>
          <w:rFonts w:cstheme="minorHAnsi"/>
          <w:b/>
          <w:bCs/>
          <w:color w:val="000000" w:themeColor="text1"/>
          <w:sz w:val="26"/>
          <w:szCs w:val="26"/>
        </w:rPr>
      </w:pPr>
      <w:r w:rsidRPr="00767481">
        <w:rPr>
          <w:rFonts w:cstheme="minorHAnsi"/>
          <w:b/>
          <w:bCs/>
          <w:color w:val="000000" w:themeColor="text1"/>
          <w:sz w:val="26"/>
          <w:szCs w:val="26"/>
        </w:rPr>
        <w:t>“The ultimate effect of these institutional defects is that chemical risk assessments in the US and the EU have a safety bar for approval that is so low that regulators virtually never decline to approve a chemical. In contrast, the exact same institutions use standards for taking any chemical off the market that are so high that such an event nearly never happens. Yet if both standards were based purely on science, as they claim to be, both bars would be the same height…</w:t>
      </w:r>
    </w:p>
    <w:p w14:paraId="429AC445" w14:textId="77777777" w:rsidR="00402C5B" w:rsidRPr="00767481" w:rsidRDefault="00402C5B" w:rsidP="00402C5B">
      <w:pPr>
        <w:jc w:val="center"/>
        <w:rPr>
          <w:rFonts w:cstheme="minorHAnsi"/>
          <w:b/>
          <w:bCs/>
          <w:color w:val="000000" w:themeColor="text1"/>
          <w:sz w:val="26"/>
          <w:szCs w:val="26"/>
        </w:rPr>
      </w:pPr>
      <w:r w:rsidRPr="00767481">
        <w:rPr>
          <w:rFonts w:cstheme="minorHAnsi"/>
          <w:b/>
          <w:bCs/>
          <w:color w:val="000000" w:themeColor="text1"/>
          <w:sz w:val="26"/>
          <w:szCs w:val="26"/>
        </w:rPr>
        <w:t>Chemical risk assessments themselves are the problem”</w:t>
      </w:r>
    </w:p>
    <w:p w14:paraId="46686C40" w14:textId="77777777" w:rsidR="00402C5B" w:rsidRPr="00767481" w:rsidRDefault="00402C5B" w:rsidP="00402C5B">
      <w:pPr>
        <w:jc w:val="right"/>
        <w:rPr>
          <w:rFonts w:cstheme="minorHAnsi"/>
          <w:color w:val="000000" w:themeColor="text1"/>
        </w:rPr>
      </w:pPr>
      <w:r w:rsidRPr="00767481">
        <w:rPr>
          <w:rFonts w:cstheme="minorHAnsi"/>
          <w:color w:val="000000" w:themeColor="text1"/>
        </w:rPr>
        <w:t xml:space="preserve">---Jonathan Latham, PhD, </w:t>
      </w:r>
    </w:p>
    <w:p w14:paraId="2F0DB449" w14:textId="77777777" w:rsidR="00402C5B" w:rsidRPr="00767481" w:rsidRDefault="00402C5B" w:rsidP="00402C5B">
      <w:pPr>
        <w:jc w:val="right"/>
        <w:rPr>
          <w:rFonts w:cstheme="minorHAnsi"/>
          <w:color w:val="000000" w:themeColor="text1"/>
        </w:rPr>
      </w:pPr>
      <w:r w:rsidRPr="00767481">
        <w:rPr>
          <w:rFonts w:cstheme="minorHAnsi"/>
          <w:color w:val="000000" w:themeColor="text1"/>
        </w:rPr>
        <w:t>the Cornucopia Institute</w:t>
      </w:r>
    </w:p>
    <w:p w14:paraId="11CB250E" w14:textId="77777777" w:rsidR="003D58DD" w:rsidRPr="008B74A7" w:rsidRDefault="003D58DD" w:rsidP="008B74A7">
      <w:pPr>
        <w:pStyle w:val="CSP-ChapterBodyText"/>
        <w:ind w:firstLine="0"/>
        <w:rPr>
          <w:rFonts w:asciiTheme="minorHAnsi" w:hAnsiTheme="minorHAnsi" w:cstheme="minorHAnsi"/>
          <w:color w:val="FF0000"/>
        </w:rPr>
      </w:pPr>
    </w:p>
    <w:p w14:paraId="54CBB670" w14:textId="77777777" w:rsidR="008B74A7" w:rsidRDefault="008B74A7" w:rsidP="00C57D87">
      <w:pPr>
        <w:pStyle w:val="CSP-ChapterBodyText"/>
        <w:ind w:firstLine="0"/>
        <w:rPr>
          <w:rFonts w:asciiTheme="minorHAnsi" w:hAnsiTheme="minorHAnsi" w:cstheme="minorHAnsi"/>
          <w:color w:val="000000" w:themeColor="text1"/>
        </w:rPr>
      </w:pPr>
    </w:p>
    <w:p w14:paraId="3AF29F3A" w14:textId="08D33B8E" w:rsidR="0019238E" w:rsidRDefault="0019238E" w:rsidP="00C57D87">
      <w:pPr>
        <w:pStyle w:val="CSP-ChapterBodyText"/>
        <w:ind w:firstLine="0"/>
        <w:rPr>
          <w:rFonts w:asciiTheme="minorHAnsi" w:hAnsiTheme="minorHAnsi" w:cstheme="minorHAnsi"/>
          <w:color w:val="000000" w:themeColor="text1"/>
        </w:rPr>
      </w:pPr>
    </w:p>
    <w:p w14:paraId="2AA07501" w14:textId="6A89F621" w:rsidR="0019238E" w:rsidRPr="0019238E" w:rsidRDefault="0019238E" w:rsidP="00C57D87">
      <w:pPr>
        <w:pStyle w:val="CSP-ChapterBodyText"/>
        <w:ind w:firstLine="0"/>
        <w:rPr>
          <w:rFonts w:asciiTheme="minorHAnsi" w:hAnsiTheme="minorHAnsi" w:cstheme="minorHAnsi"/>
          <w:b/>
          <w:bCs/>
          <w:color w:val="000000" w:themeColor="text1"/>
        </w:rPr>
      </w:pPr>
      <w:r w:rsidRPr="0019238E">
        <w:rPr>
          <w:rFonts w:asciiTheme="minorHAnsi" w:hAnsiTheme="minorHAnsi" w:cstheme="minorHAnsi"/>
          <w:b/>
          <w:bCs/>
          <w:color w:val="000000" w:themeColor="text1"/>
        </w:rPr>
        <w:t>EPA’s methodology for determining hazard is deeply flawed</w:t>
      </w:r>
    </w:p>
    <w:p w14:paraId="715121A0" w14:textId="77777777" w:rsidR="00C57D87" w:rsidRDefault="00C57D87" w:rsidP="00402C5B">
      <w:pPr>
        <w:pStyle w:val="CSP-ChapterBodyText"/>
        <w:ind w:firstLine="0"/>
        <w:rPr>
          <w:rFonts w:asciiTheme="minorHAnsi" w:hAnsiTheme="minorHAnsi" w:cstheme="minorHAnsi"/>
          <w:color w:val="000000" w:themeColor="text1"/>
        </w:rPr>
      </w:pPr>
    </w:p>
    <w:p w14:paraId="32C6D4EE" w14:textId="2D2316B7" w:rsidR="00C57D87" w:rsidRDefault="00C57D87" w:rsidP="00C57D87">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Below are </w:t>
      </w:r>
      <w:r w:rsidR="006E2279">
        <w:rPr>
          <w:rFonts w:asciiTheme="minorHAnsi" w:hAnsiTheme="minorHAnsi" w:cstheme="minorHAnsi"/>
          <w:color w:val="000000" w:themeColor="text1"/>
        </w:rPr>
        <w:t>fourteen</w:t>
      </w:r>
      <w:r w:rsidRPr="00767481">
        <w:rPr>
          <w:rFonts w:asciiTheme="minorHAnsi" w:hAnsiTheme="minorHAnsi" w:cstheme="minorHAnsi"/>
          <w:color w:val="000000" w:themeColor="text1"/>
        </w:rPr>
        <w:t xml:space="preserve"> reasons why</w:t>
      </w:r>
      <w:r w:rsidR="002A5219">
        <w:rPr>
          <w:rFonts w:asciiTheme="minorHAnsi" w:hAnsiTheme="minorHAnsi" w:cstheme="minorHAnsi"/>
          <w:color w:val="000000" w:themeColor="text1"/>
        </w:rPr>
        <w:t xml:space="preserve"> EPA’s</w:t>
      </w:r>
      <w:r w:rsidR="007C1299">
        <w:rPr>
          <w:rFonts w:asciiTheme="minorHAnsi" w:hAnsiTheme="minorHAnsi" w:cstheme="minorHAnsi"/>
          <w:color w:val="000000" w:themeColor="text1"/>
        </w:rPr>
        <w:t xml:space="preserve"> toxicology risk assessments (</w:t>
      </w:r>
      <w:r w:rsidRPr="00767481">
        <w:rPr>
          <w:rFonts w:asciiTheme="minorHAnsi" w:hAnsiTheme="minorHAnsi" w:cstheme="minorHAnsi"/>
          <w:color w:val="000000" w:themeColor="text1"/>
        </w:rPr>
        <w:t>TRAs</w:t>
      </w:r>
      <w:r w:rsidR="007C1299">
        <w:rPr>
          <w:rFonts w:asciiTheme="minorHAnsi" w:hAnsiTheme="minorHAnsi" w:cstheme="minorHAnsi"/>
          <w:color w:val="000000" w:themeColor="text1"/>
        </w:rPr>
        <w:t xml:space="preserve">), acceptable daily intakes </w:t>
      </w:r>
      <w:r w:rsidRPr="00767481">
        <w:rPr>
          <w:rFonts w:asciiTheme="minorHAnsi" w:hAnsiTheme="minorHAnsi" w:cstheme="minorHAnsi"/>
          <w:color w:val="000000" w:themeColor="text1"/>
        </w:rPr>
        <w:t xml:space="preserve"> </w:t>
      </w:r>
      <w:r w:rsidR="007C1299">
        <w:rPr>
          <w:rFonts w:asciiTheme="minorHAnsi" w:hAnsiTheme="minorHAnsi" w:cstheme="minorHAnsi"/>
          <w:color w:val="000000" w:themeColor="text1"/>
        </w:rPr>
        <w:t>(</w:t>
      </w:r>
      <w:r w:rsidRPr="00767481">
        <w:rPr>
          <w:rFonts w:asciiTheme="minorHAnsi" w:hAnsiTheme="minorHAnsi" w:cstheme="minorHAnsi"/>
          <w:color w:val="000000" w:themeColor="text1"/>
        </w:rPr>
        <w:t>ADIs</w:t>
      </w:r>
      <w:r w:rsidR="007C1299">
        <w:rPr>
          <w:rFonts w:asciiTheme="minorHAnsi" w:hAnsiTheme="minorHAnsi" w:cstheme="minorHAnsi"/>
          <w:color w:val="000000" w:themeColor="text1"/>
        </w:rPr>
        <w:t>),</w:t>
      </w:r>
      <w:r w:rsidRPr="00767481">
        <w:rPr>
          <w:rFonts w:asciiTheme="minorHAnsi" w:hAnsiTheme="minorHAnsi" w:cstheme="minorHAnsi"/>
          <w:color w:val="000000" w:themeColor="text1"/>
        </w:rPr>
        <w:t xml:space="preserve"> and </w:t>
      </w:r>
      <w:r w:rsidR="007C1299">
        <w:rPr>
          <w:rFonts w:asciiTheme="minorHAnsi" w:hAnsiTheme="minorHAnsi" w:cstheme="minorHAnsi"/>
          <w:color w:val="000000" w:themeColor="text1"/>
        </w:rPr>
        <w:t>no observed adverse effects (</w:t>
      </w:r>
      <w:r w:rsidRPr="00767481">
        <w:rPr>
          <w:rFonts w:asciiTheme="minorHAnsi" w:hAnsiTheme="minorHAnsi" w:cstheme="minorHAnsi"/>
          <w:color w:val="000000" w:themeColor="text1"/>
        </w:rPr>
        <w:t>NOAELs</w:t>
      </w:r>
      <w:r w:rsidR="007C1299">
        <w:rPr>
          <w:rFonts w:asciiTheme="minorHAnsi" w:hAnsiTheme="minorHAnsi" w:cstheme="minorHAnsi"/>
          <w:color w:val="000000" w:themeColor="text1"/>
        </w:rPr>
        <w:t>)</w:t>
      </w:r>
      <w:r w:rsidRPr="00767481">
        <w:rPr>
          <w:rFonts w:asciiTheme="minorHAnsi" w:hAnsiTheme="minorHAnsi" w:cstheme="minorHAnsi"/>
          <w:color w:val="000000" w:themeColor="text1"/>
        </w:rPr>
        <w:t xml:space="preserve"> fail to identify many health risks, and usually underestimate the toxicity of chemicals</w:t>
      </w:r>
      <w:r w:rsidR="007C1299">
        <w:rPr>
          <w:rFonts w:asciiTheme="minorHAnsi" w:hAnsiTheme="minorHAnsi" w:cstheme="minorHAnsi"/>
          <w:color w:val="000000" w:themeColor="text1"/>
        </w:rPr>
        <w:t>.</w:t>
      </w:r>
    </w:p>
    <w:p w14:paraId="10E36DEE" w14:textId="77777777" w:rsidR="00C57D87" w:rsidRDefault="00C57D87" w:rsidP="00C57D87">
      <w:pPr>
        <w:pStyle w:val="CSP-ChapterBodyText"/>
        <w:ind w:firstLine="0"/>
        <w:rPr>
          <w:rFonts w:asciiTheme="minorHAnsi" w:hAnsiTheme="minorHAnsi" w:cstheme="minorHAnsi"/>
          <w:color w:val="000000" w:themeColor="text1"/>
        </w:rPr>
      </w:pPr>
    </w:p>
    <w:p w14:paraId="5D4C281A" w14:textId="77777777" w:rsidR="007265E8" w:rsidRDefault="007C1299" w:rsidP="007265E8">
      <w:pPr>
        <w:pStyle w:val="CSP-ChapterBodyText"/>
        <w:ind w:firstLine="0"/>
        <w:rPr>
          <w:rFonts w:asciiTheme="minorHAnsi" w:hAnsiTheme="minorHAnsi" w:cstheme="minorHAnsi"/>
          <w:color w:val="000000" w:themeColor="text1"/>
        </w:rPr>
      </w:pPr>
      <w:r>
        <w:rPr>
          <w:rFonts w:asciiTheme="minorHAnsi" w:hAnsiTheme="minorHAnsi" w:cstheme="minorHAnsi"/>
          <w:color w:val="000000" w:themeColor="text1"/>
        </w:rPr>
        <w:t xml:space="preserve">1. </w:t>
      </w:r>
      <w:r w:rsidR="000A12A4" w:rsidRPr="00767481">
        <w:rPr>
          <w:rFonts w:asciiTheme="minorHAnsi" w:hAnsiTheme="minorHAnsi" w:cstheme="minorHAnsi"/>
          <w:color w:val="000000" w:themeColor="text1"/>
        </w:rPr>
        <w:t>Virtually all toxicity data used by the EPA comes from “toxicology risk assessments (TRAs)</w:t>
      </w:r>
      <w:r w:rsidR="000A12A4">
        <w:rPr>
          <w:rFonts w:asciiTheme="minorHAnsi" w:hAnsiTheme="minorHAnsi" w:cstheme="minorHAnsi"/>
          <w:color w:val="000000" w:themeColor="text1"/>
        </w:rPr>
        <w:t>.</w:t>
      </w:r>
      <w:r w:rsidR="000A12A4" w:rsidRPr="00767481">
        <w:rPr>
          <w:rFonts w:asciiTheme="minorHAnsi" w:hAnsiTheme="minorHAnsi" w:cstheme="minorHAnsi"/>
          <w:color w:val="000000" w:themeColor="text1"/>
        </w:rPr>
        <w:t>”</w:t>
      </w:r>
      <w:r w:rsidR="000A12A4">
        <w:rPr>
          <w:rFonts w:asciiTheme="minorHAnsi" w:hAnsiTheme="minorHAnsi" w:cstheme="minorHAnsi"/>
          <w:color w:val="000000" w:themeColor="text1"/>
        </w:rPr>
        <w:t xml:space="preserve"> </w:t>
      </w:r>
      <w:r w:rsidR="000A12A4" w:rsidRPr="00767481">
        <w:rPr>
          <w:rFonts w:asciiTheme="minorHAnsi" w:hAnsiTheme="minorHAnsi" w:cstheme="minorHAnsi"/>
          <w:color w:val="000000" w:themeColor="text1"/>
        </w:rPr>
        <w:t>How TRAs, ADIs, and NOAELs originated is instructive.</w:t>
      </w:r>
      <w:r w:rsidR="000A12A4">
        <w:rPr>
          <w:rFonts w:asciiTheme="minorHAnsi" w:hAnsiTheme="minorHAnsi" w:cstheme="minorHAnsi"/>
          <w:color w:val="000000" w:themeColor="text1"/>
        </w:rPr>
        <w:t xml:space="preserve"> </w:t>
      </w:r>
      <w:r w:rsidR="007265E8" w:rsidRPr="00767481">
        <w:rPr>
          <w:rFonts w:asciiTheme="minorHAnsi" w:hAnsiTheme="minorHAnsi" w:cstheme="minorHAnsi"/>
          <w:color w:val="000000" w:themeColor="text1"/>
        </w:rPr>
        <w:t xml:space="preserve">TRAs were first used by the EPA in 1975 under pressure from industry to dismiss health risks of one of the earliest known toxins, vinyl chloride, the same </w:t>
      </w:r>
      <w:r w:rsidR="007265E8">
        <w:rPr>
          <w:rFonts w:asciiTheme="minorHAnsi" w:hAnsiTheme="minorHAnsi" w:cstheme="minorHAnsi"/>
          <w:color w:val="000000" w:themeColor="text1"/>
        </w:rPr>
        <w:t xml:space="preserve">toxic </w:t>
      </w:r>
      <w:r w:rsidR="007265E8" w:rsidRPr="00767481">
        <w:rPr>
          <w:rFonts w:asciiTheme="minorHAnsi" w:hAnsiTheme="minorHAnsi" w:cstheme="minorHAnsi"/>
          <w:color w:val="000000" w:themeColor="text1"/>
        </w:rPr>
        <w:t>chemical that made recent headlines with the train derailment in East Palestine, Ohio.</w:t>
      </w:r>
      <w:r w:rsidR="007265E8" w:rsidRPr="00767481">
        <w:rPr>
          <w:rFonts w:asciiTheme="minorHAnsi" w:hAnsiTheme="minorHAnsi" w:cstheme="minorHAnsi"/>
          <w:color w:val="000000" w:themeColor="text1"/>
          <w:vertAlign w:val="superscript"/>
        </w:rPr>
        <w:t xml:space="preserve"> </w:t>
      </w:r>
      <w:r w:rsidR="007265E8" w:rsidRPr="00767481">
        <w:rPr>
          <w:rFonts w:asciiTheme="minorHAnsi" w:hAnsiTheme="minorHAnsi" w:cstheme="minorHAnsi"/>
          <w:color w:val="000000" w:themeColor="text1"/>
        </w:rPr>
        <w:t>The EPA felt like they could respond authoritatively if they could calculate the number of cancers that would be caused by exposing the population to vinyl chloride. Federal regulators then started adopting that technique with many other environmental controversies and disputes with industry, and that methodology continues largely unchanged today.</w:t>
      </w:r>
      <w:r w:rsidR="007265E8">
        <w:rPr>
          <w:rFonts w:asciiTheme="minorHAnsi" w:hAnsiTheme="minorHAnsi" w:cstheme="minorHAnsi"/>
          <w:color w:val="000000" w:themeColor="text1"/>
        </w:rPr>
        <w:t xml:space="preserve"> This is the </w:t>
      </w:r>
      <w:r w:rsidR="00402C5B" w:rsidRPr="00767481">
        <w:rPr>
          <w:rFonts w:asciiTheme="minorHAnsi" w:hAnsiTheme="minorHAnsi" w:cstheme="minorHAnsi"/>
          <w:color w:val="000000" w:themeColor="text1"/>
        </w:rPr>
        <w:t xml:space="preserve">approach that polluting industries, chemical manufacturers, and unfortunately regulatory bodies use to assess whether a certain project such as citing of a pollution source, like a refinery or incinerator, or a chemical spraying program will create a public health risk. </w:t>
      </w:r>
    </w:p>
    <w:p w14:paraId="3F9E0466" w14:textId="77777777" w:rsidR="007265E8" w:rsidRDefault="007265E8" w:rsidP="007265E8">
      <w:pPr>
        <w:pStyle w:val="CSP-ChapterBodyText"/>
        <w:ind w:firstLine="0"/>
        <w:rPr>
          <w:rFonts w:asciiTheme="minorHAnsi" w:hAnsiTheme="minorHAnsi" w:cstheme="minorHAnsi"/>
          <w:color w:val="000000" w:themeColor="text1"/>
        </w:rPr>
      </w:pPr>
    </w:p>
    <w:p w14:paraId="1B1D2E65" w14:textId="75B0D11D" w:rsidR="00402C5B" w:rsidRPr="00767481" w:rsidRDefault="007265E8"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ADIs and NOAELs were developed for similar reasons in the 1980s, not as an organic outgrowth of the scientific evidence, but as a means of satisfying regulatory and political demands, primarily to provide justification for allowing pollution and contaminant exposures.</w:t>
      </w:r>
      <w:r>
        <w:rPr>
          <w:rFonts w:asciiTheme="minorHAnsi" w:hAnsiTheme="minorHAnsi" w:cstheme="minorHAnsi"/>
          <w:color w:val="000000" w:themeColor="text1"/>
        </w:rPr>
        <w:t xml:space="preserve"> All of this is</w:t>
      </w:r>
      <w:r w:rsidR="00402C5B" w:rsidRPr="00767481">
        <w:rPr>
          <w:rFonts w:asciiTheme="minorHAnsi" w:hAnsiTheme="minorHAnsi" w:cstheme="minorHAnsi"/>
          <w:color w:val="000000" w:themeColor="text1"/>
        </w:rPr>
        <w:t xml:space="preserve"> an antiquated, inadequate and scientifically deeply flawed process.</w:t>
      </w:r>
      <w:r>
        <w:rPr>
          <w:rFonts w:asciiTheme="minorHAnsi" w:hAnsiTheme="minorHAnsi" w:cstheme="minorHAnsi"/>
          <w:color w:val="000000" w:themeColor="text1"/>
        </w:rPr>
        <w:t xml:space="preserve"> </w:t>
      </w:r>
      <w:r w:rsidR="00402C5B" w:rsidRPr="00767481">
        <w:rPr>
          <w:rFonts w:asciiTheme="minorHAnsi" w:hAnsiTheme="minorHAnsi" w:cstheme="minorHAnsi"/>
          <w:color w:val="000000" w:themeColor="text1"/>
        </w:rPr>
        <w:t xml:space="preserve">The makers of toxic chemicals and industrial polluters are content to see it continue because with supposedly hard, mathematical data, the risks of chemicals and contaminants are easily obscured.  </w:t>
      </w:r>
    </w:p>
    <w:p w14:paraId="61517BE4" w14:textId="77777777" w:rsidR="007265E8" w:rsidRDefault="007265E8" w:rsidP="00402C5B">
      <w:pPr>
        <w:pStyle w:val="CSP-ChapterBodyText"/>
        <w:ind w:firstLine="0"/>
        <w:rPr>
          <w:rFonts w:asciiTheme="minorHAnsi" w:hAnsiTheme="minorHAnsi" w:cstheme="minorHAnsi"/>
          <w:color w:val="000000" w:themeColor="text1"/>
        </w:rPr>
      </w:pPr>
    </w:p>
    <w:p w14:paraId="3D20BBCD" w14:textId="6FCC1FBA" w:rsidR="00402C5B" w:rsidRPr="003917FA"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These mathematical calculations were, and still are, based on two assumptions. 1. That there must exist a threshold below which no systemic effects occur, and  2. That the relationships between exposure and toxicity are linear, </w:t>
      </w:r>
      <w:proofErr w:type="gramStart"/>
      <w:r w:rsidRPr="00767481">
        <w:rPr>
          <w:rFonts w:asciiTheme="minorHAnsi" w:hAnsiTheme="minorHAnsi" w:cstheme="minorHAnsi"/>
          <w:color w:val="000000" w:themeColor="text1"/>
        </w:rPr>
        <w:t>i.e.</w:t>
      </w:r>
      <w:proofErr w:type="gramEnd"/>
      <w:r w:rsidRPr="00767481">
        <w:rPr>
          <w:rFonts w:asciiTheme="minorHAnsi" w:hAnsiTheme="minorHAnsi" w:cstheme="minorHAnsi"/>
          <w:color w:val="000000" w:themeColor="text1"/>
        </w:rPr>
        <w:t xml:space="preserve"> monotonic. We now know both of those assumptions are often not correct</w:t>
      </w:r>
      <w:r w:rsidR="00C4073F" w:rsidRPr="003917FA">
        <w:rPr>
          <w:rFonts w:asciiTheme="minorHAnsi" w:hAnsiTheme="minorHAnsi" w:cstheme="minorHAnsi"/>
          <w:color w:val="000000" w:themeColor="text1"/>
        </w:rPr>
        <w:t xml:space="preserve">, especially now that many chemicals are recognized as toxic primarily because they are endocrine disruptors, EDCs, </w:t>
      </w:r>
      <w:r w:rsidR="000F0050" w:rsidRPr="003917FA">
        <w:rPr>
          <w:rFonts w:asciiTheme="minorHAnsi" w:hAnsiTheme="minorHAnsi" w:cstheme="minorHAnsi"/>
          <w:color w:val="000000" w:themeColor="text1"/>
        </w:rPr>
        <w:t>which</w:t>
      </w:r>
      <w:r w:rsidR="003917FA" w:rsidRPr="003917FA">
        <w:rPr>
          <w:rFonts w:asciiTheme="minorHAnsi" w:hAnsiTheme="minorHAnsi" w:cstheme="minorHAnsi"/>
          <w:color w:val="000000" w:themeColor="text1"/>
        </w:rPr>
        <w:t xml:space="preserve"> are </w:t>
      </w:r>
      <w:r w:rsidR="000F0050" w:rsidRPr="003917FA">
        <w:rPr>
          <w:rFonts w:asciiTheme="minorHAnsi" w:hAnsiTheme="minorHAnsi" w:cstheme="minorHAnsi"/>
          <w:color w:val="000000" w:themeColor="text1"/>
        </w:rPr>
        <w:t>harming health at extremely low</w:t>
      </w:r>
      <w:r w:rsidR="003917FA" w:rsidRPr="003917FA">
        <w:rPr>
          <w:rFonts w:asciiTheme="minorHAnsi" w:hAnsiTheme="minorHAnsi" w:cstheme="minorHAnsi"/>
          <w:color w:val="000000" w:themeColor="text1"/>
        </w:rPr>
        <w:t>, barely measurable doses.</w:t>
      </w:r>
    </w:p>
    <w:p w14:paraId="2BD184AF" w14:textId="77777777" w:rsidR="00402C5B" w:rsidRPr="000F0050" w:rsidRDefault="00402C5B" w:rsidP="00402C5B">
      <w:pPr>
        <w:pStyle w:val="CSP-ChapterBodyText"/>
        <w:ind w:firstLine="0"/>
        <w:rPr>
          <w:rFonts w:asciiTheme="minorHAnsi" w:hAnsiTheme="minorHAnsi" w:cstheme="minorHAnsi"/>
          <w:color w:val="FF0000"/>
        </w:rPr>
      </w:pPr>
    </w:p>
    <w:p w14:paraId="1FDC05EB" w14:textId="3ECE862B" w:rsidR="00402C5B" w:rsidRPr="00767481" w:rsidRDefault="006E2279" w:rsidP="00402C5B">
      <w:pPr>
        <w:pStyle w:val="CSP-ChapterBodyText"/>
        <w:ind w:firstLine="0"/>
        <w:rPr>
          <w:rFonts w:asciiTheme="minorHAnsi" w:hAnsiTheme="minorHAnsi" w:cstheme="minorHAnsi"/>
          <w:color w:val="000000" w:themeColor="text1"/>
        </w:rPr>
      </w:pPr>
      <w:r>
        <w:rPr>
          <w:rFonts w:asciiTheme="minorHAnsi" w:hAnsiTheme="minorHAnsi" w:cstheme="minorHAnsi"/>
          <w:color w:val="000000" w:themeColor="text1"/>
        </w:rPr>
        <w:t xml:space="preserve">Foundational to the </w:t>
      </w:r>
      <w:r w:rsidR="00402C5B" w:rsidRPr="00767481">
        <w:rPr>
          <w:rFonts w:asciiTheme="minorHAnsi" w:hAnsiTheme="minorHAnsi" w:cstheme="minorHAnsi"/>
          <w:color w:val="000000" w:themeColor="text1"/>
        </w:rPr>
        <w:t>science of toxicology is still a principle first advocated by the father of toxicology, Paracelsus (Theophrastus von Hohenheim), a 15</w:t>
      </w:r>
      <w:r w:rsidR="00402C5B" w:rsidRPr="00767481">
        <w:rPr>
          <w:rFonts w:asciiTheme="minorHAnsi" w:hAnsiTheme="minorHAnsi" w:cstheme="minorHAnsi"/>
          <w:color w:val="000000" w:themeColor="text1"/>
          <w:vertAlign w:val="superscript"/>
        </w:rPr>
        <w:t>th</w:t>
      </w:r>
      <w:r w:rsidR="00402C5B" w:rsidRPr="00767481">
        <w:rPr>
          <w:rFonts w:asciiTheme="minorHAnsi" w:hAnsiTheme="minorHAnsi" w:cstheme="minorHAnsi"/>
          <w:color w:val="000000" w:themeColor="text1"/>
        </w:rPr>
        <w:t>-16</w:t>
      </w:r>
      <w:r w:rsidR="00402C5B" w:rsidRPr="00767481">
        <w:rPr>
          <w:rFonts w:asciiTheme="minorHAnsi" w:hAnsiTheme="minorHAnsi" w:cstheme="minorHAnsi"/>
          <w:color w:val="000000" w:themeColor="text1"/>
          <w:vertAlign w:val="superscript"/>
        </w:rPr>
        <w:t>th</w:t>
      </w:r>
      <w:r w:rsidR="00402C5B" w:rsidRPr="00767481">
        <w:rPr>
          <w:rFonts w:asciiTheme="minorHAnsi" w:hAnsiTheme="minorHAnsi" w:cstheme="minorHAnsi"/>
          <w:color w:val="000000" w:themeColor="text1"/>
        </w:rPr>
        <w:t xml:space="preserve"> Century Swiss physician, alchemist, and astrologer. His contribution to the Renaissance was the fundamental classic toxicology theory that “the dose makes the poison.” In other words, there is a threshold at which low concentrations of toxic substances no longer present a threat to human health and above that threshold, the harm is proportional to the dose. That is still the basis of modern-day toxicology and government environmental regulations. But that assumption, and the methodology based upon that assumption, was flawed when it was adopted in the 1970s, but </w:t>
      </w:r>
      <w:r w:rsidR="000F0050">
        <w:rPr>
          <w:rFonts w:asciiTheme="minorHAnsi" w:hAnsiTheme="minorHAnsi" w:cstheme="minorHAnsi"/>
          <w:color w:val="000000" w:themeColor="text1"/>
        </w:rPr>
        <w:t>medical science has made that</w:t>
      </w:r>
      <w:r w:rsidR="00402C5B" w:rsidRPr="00767481">
        <w:rPr>
          <w:rFonts w:asciiTheme="minorHAnsi" w:hAnsiTheme="minorHAnsi" w:cstheme="minorHAnsi"/>
          <w:color w:val="000000" w:themeColor="text1"/>
        </w:rPr>
        <w:t xml:space="preserve"> clearly evident now. </w:t>
      </w:r>
    </w:p>
    <w:p w14:paraId="56DBC1C4" w14:textId="77777777" w:rsidR="00402C5B" w:rsidRPr="00767481" w:rsidRDefault="00402C5B" w:rsidP="00402C5B">
      <w:pPr>
        <w:pStyle w:val="CSP-ChapterBodyText"/>
        <w:rPr>
          <w:rFonts w:asciiTheme="minorHAnsi" w:hAnsiTheme="minorHAnsi" w:cstheme="minorHAnsi"/>
          <w:color w:val="000000" w:themeColor="text1"/>
        </w:rPr>
      </w:pPr>
    </w:p>
    <w:p w14:paraId="47A55B49" w14:textId="13FDFD49" w:rsidR="00402C5B" w:rsidRDefault="00402C5B" w:rsidP="00402C5B">
      <w:pPr>
        <w:jc w:val="both"/>
        <w:rPr>
          <w:rFonts w:cstheme="minorHAnsi"/>
          <w:color w:val="000000" w:themeColor="text1"/>
        </w:rPr>
      </w:pPr>
      <w:r w:rsidRPr="00767481">
        <w:rPr>
          <w:rFonts w:cstheme="minorHAnsi"/>
          <w:color w:val="000000" w:themeColor="text1"/>
        </w:rPr>
        <w:t xml:space="preserve">Regulatory toxicology testing primarily has consisted of high dose testing on adult animals, usually mice or rats, and subsequent testing at progressively lower doses in an attempt to establish a dose response model from which a threshold can be derived below which effects, usually death or cancer, could no longer be identified. </w:t>
      </w:r>
    </w:p>
    <w:p w14:paraId="008FDDD6" w14:textId="2A3DFD96" w:rsidR="006E2279" w:rsidRDefault="006E2279" w:rsidP="00402C5B">
      <w:pPr>
        <w:jc w:val="both"/>
        <w:rPr>
          <w:rFonts w:cstheme="minorHAnsi"/>
          <w:color w:val="000000" w:themeColor="text1"/>
        </w:rPr>
      </w:pPr>
    </w:p>
    <w:p w14:paraId="63C5469D" w14:textId="37059D62" w:rsidR="006E2279" w:rsidRPr="00767481" w:rsidRDefault="006E2279" w:rsidP="006E2279">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This testing frame work is now increasingly recognized within the medical community as a pillar of misunderstanding and misinformation routinely used by industry, especially chemicals corporations to claim their products are safe and which leads to regulatory agencies approving their use. It is this regulatory framework that </w:t>
      </w:r>
      <w:r>
        <w:rPr>
          <w:rFonts w:asciiTheme="minorHAnsi" w:hAnsiTheme="minorHAnsi" w:cstheme="minorHAnsi"/>
          <w:color w:val="000000" w:themeColor="text1"/>
        </w:rPr>
        <w:t>state and federal agencies lien on</w:t>
      </w:r>
      <w:r w:rsidRPr="00767481">
        <w:rPr>
          <w:rFonts w:asciiTheme="minorHAnsi" w:hAnsiTheme="minorHAnsi" w:cstheme="minorHAnsi"/>
          <w:color w:val="000000" w:themeColor="text1"/>
        </w:rPr>
        <w:t xml:space="preserve"> to exonerate their pesticide spraying program</w:t>
      </w:r>
      <w:r>
        <w:rPr>
          <w:rFonts w:asciiTheme="minorHAnsi" w:hAnsiTheme="minorHAnsi" w:cstheme="minorHAnsi"/>
          <w:color w:val="000000" w:themeColor="text1"/>
        </w:rPr>
        <w:t>s</w:t>
      </w:r>
      <w:r w:rsidRPr="00767481">
        <w:rPr>
          <w:rFonts w:asciiTheme="minorHAnsi" w:hAnsiTheme="minorHAnsi" w:cstheme="minorHAnsi"/>
          <w:color w:val="000000" w:themeColor="text1"/>
        </w:rPr>
        <w:t xml:space="preserve"> as a “safe,” or “acceptable” risk to public health. </w:t>
      </w:r>
    </w:p>
    <w:p w14:paraId="322B073A" w14:textId="77777777" w:rsidR="00C57D87" w:rsidRPr="00767481" w:rsidRDefault="00C57D87" w:rsidP="00402C5B">
      <w:pPr>
        <w:pStyle w:val="CSP-ChapterBodyText"/>
        <w:ind w:firstLine="0"/>
        <w:rPr>
          <w:rFonts w:asciiTheme="minorHAnsi" w:hAnsiTheme="minorHAnsi" w:cstheme="minorHAnsi"/>
          <w:color w:val="000000" w:themeColor="text1"/>
        </w:rPr>
      </w:pPr>
    </w:p>
    <w:p w14:paraId="5BB25CC7" w14:textId="227D5E1F" w:rsidR="00402C5B" w:rsidRPr="00767481" w:rsidRDefault="0047787D" w:rsidP="00402C5B">
      <w:pPr>
        <w:pStyle w:val="CSP-ChapterBodyText"/>
        <w:ind w:firstLine="0"/>
        <w:rPr>
          <w:rFonts w:asciiTheme="minorHAnsi" w:hAnsiTheme="minorHAnsi" w:cstheme="minorHAnsi"/>
          <w:color w:val="000000" w:themeColor="text1"/>
        </w:rPr>
      </w:pPr>
      <w:r>
        <w:rPr>
          <w:rFonts w:asciiTheme="minorHAnsi" w:hAnsiTheme="minorHAnsi" w:cstheme="minorHAnsi"/>
          <w:color w:val="000000" w:themeColor="text1"/>
        </w:rPr>
        <w:t>2</w:t>
      </w:r>
      <w:r w:rsidR="00402C5B" w:rsidRPr="00767481">
        <w:rPr>
          <w:rFonts w:asciiTheme="minorHAnsi" w:hAnsiTheme="minorHAnsi" w:cstheme="minorHAnsi"/>
          <w:color w:val="000000" w:themeColor="text1"/>
        </w:rPr>
        <w:t>. Most of the research used in risk assessments is supplied by the chemical manufacturers themselves or from contract labs hired by the companies. The potential for corruption of that system is obvious, but starkly illustrated by the history of Industrial Bio-Test Labs (IBT). For three decades IBT performed one third of all the toxicology testing in the United States. Several of its executives were convicted in 1983 of extensive scientific misconduct for fraudulent research favoring industry.</w:t>
      </w:r>
      <w:r w:rsidR="00402C5B" w:rsidRPr="00767481">
        <w:rPr>
          <w:rFonts w:asciiTheme="minorHAnsi" w:hAnsiTheme="minorHAnsi" w:cstheme="minorHAnsi"/>
          <w:color w:val="000000" w:themeColor="text1"/>
          <w:vertAlign w:val="superscript"/>
        </w:rPr>
        <w:t>3</w:t>
      </w:r>
      <w:r w:rsidR="003832DC">
        <w:rPr>
          <w:rFonts w:asciiTheme="minorHAnsi" w:hAnsiTheme="minorHAnsi" w:cstheme="minorHAnsi"/>
          <w:color w:val="000000" w:themeColor="text1"/>
          <w:vertAlign w:val="superscript"/>
        </w:rPr>
        <w:t>1,32</w:t>
      </w:r>
      <w:r w:rsidR="00402C5B" w:rsidRPr="00767481">
        <w:rPr>
          <w:rFonts w:asciiTheme="minorHAnsi" w:hAnsiTheme="minorHAnsi" w:cstheme="minorHAnsi"/>
          <w:color w:val="000000" w:themeColor="text1"/>
        </w:rPr>
        <w:t xml:space="preserve"> IBT had performed over 2,000 key product safety tests resulting in the release of 212 pesticides. After an extensive review in 1983, EPA determined that only 16% of </w:t>
      </w:r>
      <w:r w:rsidR="00402C5B" w:rsidRPr="00767481">
        <w:rPr>
          <w:rFonts w:asciiTheme="minorHAnsi" w:hAnsiTheme="minorHAnsi" w:cstheme="minorHAnsi"/>
          <w:color w:val="000000" w:themeColor="text1"/>
        </w:rPr>
        <w:lastRenderedPageBreak/>
        <w:t>IBT's testing results were valid.</w:t>
      </w:r>
      <w:r w:rsidR="003832DC">
        <w:rPr>
          <w:rFonts w:asciiTheme="minorHAnsi" w:hAnsiTheme="minorHAnsi" w:cstheme="minorHAnsi"/>
          <w:color w:val="000000" w:themeColor="text1"/>
          <w:vertAlign w:val="superscript"/>
        </w:rPr>
        <w:t>33</w:t>
      </w:r>
      <w:r w:rsidR="00402C5B" w:rsidRPr="00767481">
        <w:rPr>
          <w:rFonts w:asciiTheme="minorHAnsi" w:hAnsiTheme="minorHAnsi" w:cstheme="minorHAnsi"/>
          <w:color w:val="000000" w:themeColor="text1"/>
        </w:rPr>
        <w:t xml:space="preserve"> Only a tiny number of the invalid studies have been replaced, the agency admits, and most of those pesticides continue to be marketed, sold, and used.</w:t>
      </w:r>
      <w:r w:rsidR="003832DC">
        <w:rPr>
          <w:rFonts w:asciiTheme="minorHAnsi" w:hAnsiTheme="minorHAnsi" w:cstheme="minorHAnsi"/>
          <w:color w:val="000000" w:themeColor="text1"/>
          <w:vertAlign w:val="superscript"/>
        </w:rPr>
        <w:t>31</w:t>
      </w:r>
      <w:r w:rsidR="00402C5B" w:rsidRPr="00767481">
        <w:rPr>
          <w:rFonts w:asciiTheme="minorHAnsi" w:hAnsiTheme="minorHAnsi" w:cstheme="minorHAnsi"/>
          <w:color w:val="000000" w:themeColor="text1"/>
        </w:rPr>
        <w:t xml:space="preserve"> </w:t>
      </w:r>
    </w:p>
    <w:p w14:paraId="649E2026" w14:textId="77777777" w:rsidR="00402C5B" w:rsidRPr="00767481" w:rsidRDefault="00402C5B" w:rsidP="00402C5B">
      <w:pPr>
        <w:pStyle w:val="CSP-ChapterBodyText"/>
        <w:ind w:firstLine="0"/>
        <w:rPr>
          <w:rFonts w:asciiTheme="minorHAnsi" w:hAnsiTheme="minorHAnsi" w:cstheme="minorHAnsi"/>
          <w:color w:val="000000" w:themeColor="text1"/>
        </w:rPr>
      </w:pPr>
    </w:p>
    <w:p w14:paraId="21443430" w14:textId="7777777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As disturbing as this scandal is, the EPA process created in the wake of that scandal is even more so. EPA has established a research protocol called  Mutual Acceptance of Data (MAD), whose effect is to exclude truly independent, peer-reviewed scientific research, like from academia, in favor of industry produced research. </w:t>
      </w:r>
    </w:p>
    <w:p w14:paraId="5092DBDF" w14:textId="77777777" w:rsidR="00402C5B" w:rsidRPr="00767481" w:rsidRDefault="00402C5B" w:rsidP="00402C5B">
      <w:pPr>
        <w:pStyle w:val="CSP-ChapterBodyText"/>
        <w:ind w:firstLine="0"/>
        <w:rPr>
          <w:rFonts w:asciiTheme="minorHAnsi" w:hAnsiTheme="minorHAnsi" w:cstheme="minorHAnsi"/>
          <w:color w:val="000000" w:themeColor="text1"/>
        </w:rPr>
      </w:pPr>
    </w:p>
    <w:p w14:paraId="2D09C9F6" w14:textId="7777777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Jonathan Latham, PhD, writes for the Cornucopia Institute, …“no EPA employee ever sets eyes on the original experiments or the primary data, and only a handful can access even the </w:t>
      </w:r>
      <w:proofErr w:type="spellStart"/>
      <w:r w:rsidRPr="00767481">
        <w:rPr>
          <w:rFonts w:asciiTheme="minorHAnsi" w:hAnsiTheme="minorHAnsi" w:cstheme="minorHAnsi"/>
          <w:color w:val="000000" w:themeColor="text1"/>
        </w:rPr>
        <w:t>summarised</w:t>
      </w:r>
      <w:proofErr w:type="spellEnd"/>
      <w:r w:rsidRPr="00767481">
        <w:rPr>
          <w:rFonts w:asciiTheme="minorHAnsi" w:hAnsiTheme="minorHAnsi" w:cstheme="minorHAnsi"/>
          <w:color w:val="000000" w:themeColor="text1"/>
        </w:rPr>
        <w:t xml:space="preserve"> results. This system has the consequence of excluding any formal possibility that whistleblowing on the part of Federal employees or FOIA requests (from outsiders) might reveal fraudulent or otherwise problematic tests. EPA calculatedly turned a blind eye to any potential future wrongdoing in the full knowledge that the chemical regulatory system it oversaw was systemically corrupt.” </w:t>
      </w:r>
    </w:p>
    <w:p w14:paraId="6B95B4F0" w14:textId="77777777" w:rsidR="00402C5B" w:rsidRPr="00767481" w:rsidRDefault="00402C5B" w:rsidP="00402C5B">
      <w:pPr>
        <w:pStyle w:val="CSP-ChapterBodyText"/>
        <w:rPr>
          <w:rFonts w:asciiTheme="minorHAnsi" w:hAnsiTheme="minorHAnsi" w:cstheme="minorHAnsi"/>
          <w:color w:val="000000" w:themeColor="text1"/>
        </w:rPr>
      </w:pPr>
    </w:p>
    <w:p w14:paraId="694B3B78" w14:textId="186D1E3D"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3. TRAs overlook the presence of non-monotonic dose-response curves, </w:t>
      </w:r>
      <w:proofErr w:type="gramStart"/>
      <w:r w:rsidRPr="00767481">
        <w:rPr>
          <w:rFonts w:asciiTheme="minorHAnsi" w:hAnsiTheme="minorHAnsi" w:cstheme="minorHAnsi"/>
          <w:color w:val="000000" w:themeColor="text1"/>
        </w:rPr>
        <w:t>i.e.</w:t>
      </w:r>
      <w:proofErr w:type="gramEnd"/>
      <w:r w:rsidRPr="00767481">
        <w:rPr>
          <w:rFonts w:asciiTheme="minorHAnsi" w:hAnsiTheme="minorHAnsi" w:cstheme="minorHAnsi"/>
          <w:color w:val="000000" w:themeColor="text1"/>
        </w:rPr>
        <w:t xml:space="preserve"> the relationship between dose and outcome is not necessarily linear. There are hundreds of studies that show non-linearity is also true for other thoroughly researched toxins like air pollution and lead. Non-linear dose response curves open the possibility that adverse health outcomes occur at concentrations below the classic toxicological no-observed-adverse-effect level (NOAEL). Indeed, numerous studies have shown that some toxins</w:t>
      </w:r>
      <w:r w:rsidR="000F0050">
        <w:rPr>
          <w:rFonts w:asciiTheme="minorHAnsi" w:hAnsiTheme="minorHAnsi" w:cstheme="minorHAnsi"/>
          <w:color w:val="000000" w:themeColor="text1"/>
        </w:rPr>
        <w:t>, especially EDCs,</w:t>
      </w:r>
      <w:r w:rsidRPr="00767481">
        <w:rPr>
          <w:rFonts w:asciiTheme="minorHAnsi" w:hAnsiTheme="minorHAnsi" w:cstheme="minorHAnsi"/>
          <w:color w:val="000000" w:themeColor="text1"/>
        </w:rPr>
        <w:t xml:space="preserve"> are actually more dangerous at lower concentrations than higher ones. Furthermore, these magical thresholds of safety don’t really exist even in those cases where the relationship is linear.</w:t>
      </w:r>
    </w:p>
    <w:p w14:paraId="0635542C" w14:textId="77777777" w:rsidR="00402C5B" w:rsidRPr="00767481" w:rsidRDefault="00402C5B" w:rsidP="00402C5B">
      <w:pPr>
        <w:pStyle w:val="CSP-ChapterBodyText"/>
        <w:ind w:firstLine="0"/>
        <w:rPr>
          <w:rFonts w:asciiTheme="minorHAnsi" w:hAnsiTheme="minorHAnsi" w:cstheme="minorHAnsi"/>
          <w:color w:val="000000" w:themeColor="text1"/>
        </w:rPr>
      </w:pPr>
    </w:p>
    <w:p w14:paraId="46EACCD6" w14:textId="66334FFB"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4. There are obviously numerous health outcomes beyond death and cancer that are more difficult or impossible to identify in animals, like infertility, immunosuppression, endocrine disruption, neurodegenerative diseases, altered behavior and subtle, reduced intellectual capacity, which are exactly the health outcomes of greatest concern with pesticides in general, and the specific </w:t>
      </w:r>
      <w:r w:rsidR="007C1299">
        <w:rPr>
          <w:rFonts w:asciiTheme="minorHAnsi" w:hAnsiTheme="minorHAnsi" w:cstheme="minorHAnsi"/>
          <w:color w:val="000000" w:themeColor="text1"/>
        </w:rPr>
        <w:t>herbicides that are proposed to be used in the Parley’s “restoration” project.</w:t>
      </w:r>
    </w:p>
    <w:p w14:paraId="38C11811" w14:textId="77777777" w:rsidR="00402C5B" w:rsidRPr="00767481" w:rsidRDefault="00402C5B" w:rsidP="00402C5B">
      <w:pPr>
        <w:pStyle w:val="CSP-ChapterBodyText"/>
        <w:ind w:firstLine="0"/>
        <w:rPr>
          <w:rFonts w:asciiTheme="minorHAnsi" w:hAnsiTheme="minorHAnsi" w:cstheme="minorHAnsi"/>
          <w:color w:val="000000" w:themeColor="text1"/>
        </w:rPr>
      </w:pPr>
    </w:p>
    <w:p w14:paraId="62C51459" w14:textId="7777777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5. The impact of toxins on genetic and epigenetic integrity may show up in subsequent generations, even if they are not exposed. But examining subsequent generations are seldom part of the research.</w:t>
      </w:r>
    </w:p>
    <w:p w14:paraId="3DAA81CF" w14:textId="77777777" w:rsidR="00402C5B" w:rsidRPr="00767481" w:rsidRDefault="00402C5B" w:rsidP="00402C5B">
      <w:pPr>
        <w:pStyle w:val="CSP-ChapterBodyText"/>
        <w:ind w:firstLine="0"/>
        <w:rPr>
          <w:rFonts w:asciiTheme="minorHAnsi" w:hAnsiTheme="minorHAnsi" w:cstheme="minorHAnsi"/>
          <w:color w:val="000000" w:themeColor="text1"/>
        </w:rPr>
      </w:pPr>
    </w:p>
    <w:p w14:paraId="5142B61E" w14:textId="7812844C"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6. The “safety factors” introduced to buffer for sensitivity variability between humans and between humans and other species (inter and intra-species differences) were arbitrarily established as multiples of ten based loosely on research of the 1950s. Very little research since then supports those arbitrary numbers. Those safety factors, ADIs, TRAs, and NOAEL</w:t>
      </w:r>
      <w:r w:rsidR="007C1299">
        <w:rPr>
          <w:rFonts w:asciiTheme="minorHAnsi" w:hAnsiTheme="minorHAnsi" w:cstheme="minorHAnsi"/>
          <w:color w:val="000000" w:themeColor="text1"/>
        </w:rPr>
        <w:t>s</w:t>
      </w:r>
      <w:r w:rsidRPr="00767481">
        <w:rPr>
          <w:rFonts w:asciiTheme="minorHAnsi" w:hAnsiTheme="minorHAnsi" w:cstheme="minorHAnsi"/>
          <w:color w:val="000000" w:themeColor="text1"/>
        </w:rPr>
        <w:t xml:space="preserve"> virtually ignore the most crucial aspect of developmental neurotoxicity, the timing of exposure, intrauterine stages</w:t>
      </w:r>
      <w:r w:rsidR="00B84523">
        <w:rPr>
          <w:rFonts w:asciiTheme="minorHAnsi" w:hAnsiTheme="minorHAnsi" w:cstheme="minorHAnsi"/>
          <w:color w:val="000000" w:themeColor="text1"/>
        </w:rPr>
        <w:t xml:space="preserve"> of organogenesis</w:t>
      </w:r>
      <w:r w:rsidRPr="00767481">
        <w:rPr>
          <w:rFonts w:asciiTheme="minorHAnsi" w:hAnsiTheme="minorHAnsi" w:cstheme="minorHAnsi"/>
          <w:color w:val="000000" w:themeColor="text1"/>
        </w:rPr>
        <w:t xml:space="preserve"> in particular.</w:t>
      </w:r>
    </w:p>
    <w:p w14:paraId="07518786" w14:textId="77777777" w:rsidR="00402C5B" w:rsidRPr="00767481" w:rsidRDefault="00402C5B" w:rsidP="00402C5B">
      <w:pPr>
        <w:pStyle w:val="CSP-ChapterBodyText"/>
        <w:ind w:firstLine="0"/>
        <w:rPr>
          <w:rFonts w:asciiTheme="minorHAnsi" w:hAnsiTheme="minorHAnsi" w:cstheme="minorHAnsi"/>
          <w:color w:val="000000" w:themeColor="text1"/>
        </w:rPr>
      </w:pPr>
    </w:p>
    <w:p w14:paraId="5DC8E55D" w14:textId="7777777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lastRenderedPageBreak/>
        <w:t>7. There is increasing evidence that neurotoxicity can be very sex specific, something that is increasingly apparent in human studies, but seldom part of the animal studies done for risk assessments.</w:t>
      </w:r>
    </w:p>
    <w:p w14:paraId="7F13F7C6" w14:textId="77777777" w:rsidR="00402C5B" w:rsidRPr="00767481" w:rsidRDefault="00402C5B" w:rsidP="00402C5B">
      <w:pPr>
        <w:pStyle w:val="CSP-ChapterBodyText"/>
        <w:rPr>
          <w:rFonts w:asciiTheme="minorHAnsi" w:hAnsiTheme="minorHAnsi" w:cstheme="minorHAnsi"/>
          <w:color w:val="000000" w:themeColor="text1"/>
        </w:rPr>
      </w:pPr>
    </w:p>
    <w:p w14:paraId="3C1562B6" w14:textId="7B2B0572"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8. </w:t>
      </w:r>
      <w:r w:rsidR="00B84523">
        <w:rPr>
          <w:rFonts w:asciiTheme="minorHAnsi" w:hAnsiTheme="minorHAnsi" w:cstheme="minorHAnsi"/>
          <w:color w:val="000000" w:themeColor="text1"/>
        </w:rPr>
        <w:t>EPA methodology</w:t>
      </w:r>
      <w:r w:rsidRPr="00767481">
        <w:rPr>
          <w:rFonts w:asciiTheme="minorHAnsi" w:hAnsiTheme="minorHAnsi" w:cstheme="minorHAnsi"/>
          <w:color w:val="000000" w:themeColor="text1"/>
        </w:rPr>
        <w:t xml:space="preserve"> virtually ignores critical differences in physiology, metabolism, microanatomy, hormones, liver function, and enzyme production between fetuses, infants, children and adults. Chemicals crossing the placenta and affecting fetal development has been a</w:t>
      </w:r>
      <w:r w:rsidR="00B84523">
        <w:rPr>
          <w:rFonts w:asciiTheme="minorHAnsi" w:hAnsiTheme="minorHAnsi" w:cstheme="minorHAnsi"/>
          <w:color w:val="000000" w:themeColor="text1"/>
        </w:rPr>
        <w:t>n investigative</w:t>
      </w:r>
      <w:r w:rsidRPr="00767481">
        <w:rPr>
          <w:rFonts w:asciiTheme="minorHAnsi" w:hAnsiTheme="minorHAnsi" w:cstheme="minorHAnsi"/>
          <w:color w:val="000000" w:themeColor="text1"/>
        </w:rPr>
        <w:t xml:space="preserve"> after-thought at best. </w:t>
      </w:r>
    </w:p>
    <w:p w14:paraId="1B78BCA8" w14:textId="77777777" w:rsidR="00402C5B" w:rsidRPr="00767481" w:rsidRDefault="00402C5B" w:rsidP="00402C5B">
      <w:pPr>
        <w:pStyle w:val="CSP-ChapterBodyText"/>
        <w:ind w:firstLine="0"/>
        <w:rPr>
          <w:rFonts w:asciiTheme="minorHAnsi" w:hAnsiTheme="minorHAnsi" w:cstheme="minorHAnsi"/>
          <w:color w:val="000000" w:themeColor="text1"/>
        </w:rPr>
      </w:pPr>
    </w:p>
    <w:p w14:paraId="01EA3906" w14:textId="2D5E38A5"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9. T</w:t>
      </w:r>
      <w:r w:rsidR="00B84523">
        <w:rPr>
          <w:rFonts w:asciiTheme="minorHAnsi" w:hAnsiTheme="minorHAnsi" w:cstheme="minorHAnsi"/>
          <w:color w:val="000000" w:themeColor="text1"/>
        </w:rPr>
        <w:t>RAs</w:t>
      </w:r>
      <w:r w:rsidRPr="00767481">
        <w:rPr>
          <w:rFonts w:asciiTheme="minorHAnsi" w:hAnsiTheme="minorHAnsi" w:cstheme="minorHAnsi"/>
          <w:color w:val="000000" w:themeColor="text1"/>
        </w:rPr>
        <w:t xml:space="preserve"> are basically mathematical calculations. These calculations dramatically oversimplify very complex biologic, physiologic and molecular processes that don’t lend themselves to mathematical equations.</w:t>
      </w:r>
    </w:p>
    <w:p w14:paraId="119A534E" w14:textId="77777777" w:rsidR="00402C5B" w:rsidRPr="00767481" w:rsidRDefault="00402C5B" w:rsidP="00402C5B">
      <w:pPr>
        <w:pStyle w:val="CSP-ChapterBodyText"/>
        <w:ind w:firstLine="0"/>
        <w:rPr>
          <w:rFonts w:asciiTheme="minorHAnsi" w:hAnsiTheme="minorHAnsi" w:cstheme="minorHAnsi"/>
          <w:color w:val="000000" w:themeColor="text1"/>
        </w:rPr>
      </w:pPr>
    </w:p>
    <w:p w14:paraId="687A8CAF" w14:textId="7FBCC48C"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10. The assessments do not pass the acid test of scientific reproducibility. Two different “assessors” can come up with widely disparate results given the same input data, especially if they have different </w:t>
      </w:r>
      <w:proofErr w:type="spellStart"/>
      <w:r w:rsidRPr="00767481">
        <w:rPr>
          <w:rFonts w:asciiTheme="minorHAnsi" w:hAnsiTheme="minorHAnsi" w:cstheme="minorHAnsi"/>
          <w:color w:val="000000" w:themeColor="text1"/>
        </w:rPr>
        <w:t>motivations</w:t>
      </w:r>
      <w:r w:rsidRPr="00767481">
        <w:rPr>
          <w:rFonts w:asciiTheme="minorHAnsi" w:hAnsiTheme="minorHAnsi" w:cstheme="minorHAnsi"/>
          <w:color w:val="000000" w:themeColor="text1"/>
          <w:vertAlign w:val="superscript"/>
        </w:rPr>
        <w:t>___</w:t>
      </w:r>
      <w:r w:rsidRPr="00767481">
        <w:rPr>
          <w:rFonts w:asciiTheme="minorHAnsi" w:hAnsiTheme="minorHAnsi" w:cstheme="minorHAnsi"/>
          <w:color w:val="000000" w:themeColor="text1"/>
        </w:rPr>
        <w:t>subjectivity</w:t>
      </w:r>
      <w:proofErr w:type="spellEnd"/>
      <w:r w:rsidRPr="00767481">
        <w:rPr>
          <w:rFonts w:asciiTheme="minorHAnsi" w:hAnsiTheme="minorHAnsi" w:cstheme="minorHAnsi"/>
          <w:color w:val="000000" w:themeColor="text1"/>
        </w:rPr>
        <w:t xml:space="preserve"> rather than objectivity.  William Ruckelshaus</w:t>
      </w:r>
      <w:r w:rsidR="00B84523">
        <w:rPr>
          <w:rFonts w:asciiTheme="minorHAnsi" w:hAnsiTheme="minorHAnsi" w:cstheme="minorHAnsi"/>
          <w:color w:val="000000" w:themeColor="text1"/>
        </w:rPr>
        <w:t>,</w:t>
      </w:r>
      <w:r w:rsidRPr="00767481">
        <w:rPr>
          <w:rFonts w:asciiTheme="minorHAnsi" w:hAnsiTheme="minorHAnsi" w:cstheme="minorHAnsi"/>
          <w:color w:val="000000" w:themeColor="text1"/>
        </w:rPr>
        <w:t xml:space="preserve"> the former EPA director wrote in 1984, “We should remember that risk assessment can be like the captured spy: If you torture it long enough, it will tell you anything you want to know.”</w:t>
      </w:r>
      <w:r w:rsidR="00B67E44">
        <w:rPr>
          <w:rFonts w:asciiTheme="minorHAnsi" w:hAnsiTheme="minorHAnsi" w:cstheme="minorHAnsi"/>
          <w:color w:val="000000" w:themeColor="text1"/>
          <w:vertAlign w:val="superscript"/>
        </w:rPr>
        <w:t>34</w:t>
      </w:r>
      <w:r w:rsidRPr="00767481">
        <w:rPr>
          <w:rFonts w:asciiTheme="minorHAnsi" w:hAnsiTheme="minorHAnsi" w:cstheme="minorHAnsi"/>
          <w:color w:val="000000" w:themeColor="text1"/>
          <w:vertAlign w:val="superscript"/>
        </w:rPr>
        <w:t xml:space="preserve"> </w:t>
      </w:r>
      <w:r w:rsidRPr="00767481">
        <w:rPr>
          <w:rFonts w:asciiTheme="minorHAnsi" w:hAnsiTheme="minorHAnsi" w:cstheme="minorHAnsi"/>
          <w:color w:val="000000" w:themeColor="text1"/>
        </w:rPr>
        <w:t>In 1991, the National Academy of Sciences wrote, “Risk assessment techniques are highly speculative, and almost all rely on multiple assumptions of fact -- some of which are entirely untestable.”</w:t>
      </w:r>
      <w:r w:rsidR="00B67E44">
        <w:rPr>
          <w:rFonts w:asciiTheme="minorHAnsi" w:hAnsiTheme="minorHAnsi" w:cstheme="minorHAnsi"/>
          <w:color w:val="000000" w:themeColor="text1"/>
          <w:vertAlign w:val="superscript"/>
        </w:rPr>
        <w:t>35</w:t>
      </w:r>
      <w:r w:rsidRPr="00767481">
        <w:rPr>
          <w:rFonts w:asciiTheme="minorHAnsi" w:hAnsiTheme="minorHAnsi" w:cstheme="minorHAnsi"/>
          <w:color w:val="000000" w:themeColor="text1"/>
          <w:vertAlign w:val="superscript"/>
        </w:rPr>
        <w:t xml:space="preserve"> </w:t>
      </w:r>
    </w:p>
    <w:p w14:paraId="40741301" w14:textId="77777777" w:rsidR="00402C5B" w:rsidRPr="00767481" w:rsidRDefault="00402C5B" w:rsidP="00402C5B">
      <w:pPr>
        <w:pStyle w:val="CSP-ChapterBodyText"/>
        <w:ind w:firstLine="0"/>
        <w:rPr>
          <w:rFonts w:asciiTheme="minorHAnsi" w:hAnsiTheme="minorHAnsi" w:cstheme="minorHAnsi"/>
          <w:color w:val="000000" w:themeColor="text1"/>
        </w:rPr>
      </w:pPr>
    </w:p>
    <w:p w14:paraId="4009E9C0" w14:textId="7777777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11. Through biological processes many toxic substances accumulate in organisms, concentrate in certain tissues of those organisms, and increase in concentration as they move up the food chain. Humans are at the top of the food chain and because our capacity to break down toxic chemicals is very limited, concentrations in our bodies usually increase over time. Lipophilic (fat-like) toxins will concentrate especially in human breast milk increasing the risk to progeny but that kind of exposure consequence is not addressed by EPA methodology. </w:t>
      </w:r>
    </w:p>
    <w:p w14:paraId="5759432A" w14:textId="77777777" w:rsidR="00402C5B" w:rsidRPr="00767481" w:rsidRDefault="00402C5B" w:rsidP="00402C5B">
      <w:pPr>
        <w:pStyle w:val="CSP-ChapterBodyText"/>
        <w:ind w:firstLine="0"/>
        <w:rPr>
          <w:rFonts w:asciiTheme="minorHAnsi" w:hAnsiTheme="minorHAnsi" w:cstheme="minorHAnsi"/>
          <w:color w:val="000000" w:themeColor="text1"/>
        </w:rPr>
      </w:pPr>
    </w:p>
    <w:p w14:paraId="0C251C0E" w14:textId="3709D40C" w:rsidR="001C2446"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12. Classical toxicology assessments almost never attempt to evaluate more than one toxin at a time, and the regulations derived from those risk assessments are similarly singularly focused. The default assumption is that the hazard posed by each individual compound, tested out of context and in isolation, can predict the hazard of the entire complex mixtures of chemicals. Obviously</w:t>
      </w:r>
      <w:r w:rsidR="00797EBB">
        <w:rPr>
          <w:rFonts w:asciiTheme="minorHAnsi" w:hAnsiTheme="minorHAnsi" w:cstheme="minorHAnsi"/>
          <w:color w:val="000000" w:themeColor="text1"/>
        </w:rPr>
        <w:t>,</w:t>
      </w:r>
      <w:r w:rsidRPr="00767481">
        <w:rPr>
          <w:rFonts w:asciiTheme="minorHAnsi" w:hAnsiTheme="minorHAnsi" w:cstheme="minorHAnsi"/>
          <w:color w:val="000000" w:themeColor="text1"/>
        </w:rPr>
        <w:t xml:space="preserve"> no one in America or anywhere on earth is exposed to merely one chemical. </w:t>
      </w:r>
      <w:r w:rsidR="00797EBB">
        <w:rPr>
          <w:rFonts w:asciiTheme="minorHAnsi" w:hAnsiTheme="minorHAnsi" w:cstheme="minorHAnsi"/>
          <w:color w:val="000000" w:themeColor="text1"/>
        </w:rPr>
        <w:t>In fact</w:t>
      </w:r>
      <w:r w:rsidR="00B67E44">
        <w:rPr>
          <w:rFonts w:asciiTheme="minorHAnsi" w:hAnsiTheme="minorHAnsi" w:cstheme="minorHAnsi"/>
          <w:color w:val="000000" w:themeColor="text1"/>
        </w:rPr>
        <w:t>,</w:t>
      </w:r>
      <w:r w:rsidR="00797EBB">
        <w:rPr>
          <w:rFonts w:asciiTheme="minorHAnsi" w:hAnsiTheme="minorHAnsi" w:cstheme="minorHAnsi"/>
          <w:color w:val="000000" w:themeColor="text1"/>
        </w:rPr>
        <w:t xml:space="preserve"> the chemical industry has mass produced </w:t>
      </w:r>
      <w:r w:rsidR="000036D5">
        <w:rPr>
          <w:rFonts w:asciiTheme="minorHAnsi" w:hAnsiTheme="minorHAnsi" w:cstheme="minorHAnsi"/>
          <w:color w:val="000000" w:themeColor="text1"/>
        </w:rPr>
        <w:t>about 350</w:t>
      </w:r>
      <w:r w:rsidR="00797EBB">
        <w:rPr>
          <w:rFonts w:asciiTheme="minorHAnsi" w:hAnsiTheme="minorHAnsi" w:cstheme="minorHAnsi"/>
          <w:color w:val="000000" w:themeColor="text1"/>
        </w:rPr>
        <w:t xml:space="preserve">,000 different chemicals, </w:t>
      </w:r>
      <w:r w:rsidR="001C2446">
        <w:rPr>
          <w:rFonts w:asciiTheme="minorHAnsi" w:hAnsiTheme="minorHAnsi" w:cstheme="minorHAnsi"/>
          <w:color w:val="000000" w:themeColor="text1"/>
        </w:rPr>
        <w:t>most of which were introduced since WWII, We are now exposed to about 100 times more chemicals than just two generations ago.</w:t>
      </w:r>
      <w:r w:rsidR="00B67E44" w:rsidRPr="00B67E44">
        <w:rPr>
          <w:rFonts w:asciiTheme="minorHAnsi" w:hAnsiTheme="minorHAnsi" w:cstheme="minorHAnsi"/>
          <w:color w:val="000000" w:themeColor="text1"/>
          <w:vertAlign w:val="superscript"/>
        </w:rPr>
        <w:t>36</w:t>
      </w:r>
    </w:p>
    <w:p w14:paraId="74855EE3" w14:textId="77777777" w:rsidR="001C2446" w:rsidRDefault="001C2446" w:rsidP="00402C5B">
      <w:pPr>
        <w:pStyle w:val="CSP-ChapterBodyText"/>
        <w:ind w:firstLine="0"/>
        <w:rPr>
          <w:rFonts w:asciiTheme="minorHAnsi" w:hAnsiTheme="minorHAnsi" w:cstheme="minorHAnsi"/>
          <w:color w:val="000000" w:themeColor="text1"/>
        </w:rPr>
      </w:pPr>
    </w:p>
    <w:p w14:paraId="167288FD" w14:textId="113DBE1F"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Furthermore, the potential for toxicity may be much greater than just the additive sum of all these chemicals individually. Specifically, synergistic effects from chemical interactions are quite possible, if not likely, which would significantly increase the potential for health hazards.</w:t>
      </w:r>
      <w:r w:rsidR="00B67E44">
        <w:rPr>
          <w:rFonts w:asciiTheme="minorHAnsi" w:hAnsiTheme="minorHAnsi" w:cstheme="minorHAnsi"/>
          <w:color w:val="000000" w:themeColor="text1"/>
          <w:vertAlign w:val="superscript"/>
        </w:rPr>
        <w:t>3</w:t>
      </w:r>
      <w:r w:rsidRPr="00767481">
        <w:rPr>
          <w:rFonts w:asciiTheme="minorHAnsi" w:hAnsiTheme="minorHAnsi" w:cstheme="minorHAnsi"/>
          <w:color w:val="000000" w:themeColor="text1"/>
          <w:vertAlign w:val="superscript"/>
        </w:rPr>
        <w:t>7</w:t>
      </w:r>
      <w:r w:rsidRPr="00767481">
        <w:rPr>
          <w:rFonts w:asciiTheme="minorHAnsi" w:hAnsiTheme="minorHAnsi" w:cstheme="minorHAnsi"/>
          <w:color w:val="000000" w:themeColor="text1"/>
        </w:rPr>
        <w:t xml:space="preserve"> </w:t>
      </w:r>
      <w:r w:rsidR="001C2446">
        <w:rPr>
          <w:rFonts w:asciiTheme="minorHAnsi" w:hAnsiTheme="minorHAnsi" w:cstheme="minorHAnsi"/>
          <w:color w:val="000000" w:themeColor="text1"/>
        </w:rPr>
        <w:t xml:space="preserve">For example, </w:t>
      </w:r>
      <w:r w:rsidRPr="00767481">
        <w:rPr>
          <w:rFonts w:asciiTheme="minorHAnsi" w:hAnsiTheme="minorHAnsi" w:cstheme="minorHAnsi"/>
          <w:color w:val="000000" w:themeColor="text1"/>
        </w:rPr>
        <w:t>in Salt Lake City and many other areas, mosquito abatement pesticides are often used with a synergistic agent, PBO, that may increase the lethality of the chemical mix to insects, and the toxicity to humans by a factor of ten.</w:t>
      </w:r>
    </w:p>
    <w:p w14:paraId="42FE0683" w14:textId="77777777" w:rsidR="00402C5B" w:rsidRPr="00767481" w:rsidRDefault="00402C5B" w:rsidP="00402C5B">
      <w:pPr>
        <w:pStyle w:val="CSP-ChapterBodyText"/>
        <w:ind w:firstLine="0"/>
        <w:rPr>
          <w:rFonts w:asciiTheme="minorHAnsi" w:hAnsiTheme="minorHAnsi" w:cstheme="minorHAnsi"/>
          <w:color w:val="000000" w:themeColor="text1"/>
        </w:rPr>
      </w:pPr>
    </w:p>
    <w:p w14:paraId="264C96B3" w14:textId="17771719"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lastRenderedPageBreak/>
        <w:t xml:space="preserve">Under the absurd methodology of only considering one toxin at a time, a safe dose of aspirin, combined with safe doses of ibuprofen, Oxycontin, Toradol, Celebrex, acetaminophen, three glasses of wine, and a pint of Jack Daniels would all be considered individually “safe,” but in </w:t>
      </w:r>
      <w:proofErr w:type="gramStart"/>
      <w:r w:rsidRPr="00767481">
        <w:rPr>
          <w:rFonts w:asciiTheme="minorHAnsi" w:hAnsiTheme="minorHAnsi" w:cstheme="minorHAnsi"/>
          <w:color w:val="000000" w:themeColor="text1"/>
        </w:rPr>
        <w:t>reality</w:t>
      </w:r>
      <w:proofErr w:type="gramEnd"/>
      <w:r w:rsidRPr="00767481">
        <w:rPr>
          <w:rFonts w:asciiTheme="minorHAnsi" w:hAnsiTheme="minorHAnsi" w:cstheme="minorHAnsi"/>
          <w:color w:val="000000" w:themeColor="text1"/>
        </w:rPr>
        <w:t xml:space="preserve"> might very well add up to be lethal. When a supposedly tolerable exposure to diesel exhaust is combined with a tolerable exposure to cadmium, fluoride, lead,</w:t>
      </w:r>
      <w:r w:rsidR="001C2446">
        <w:rPr>
          <w:rFonts w:asciiTheme="minorHAnsi" w:hAnsiTheme="minorHAnsi" w:cstheme="minorHAnsi"/>
          <w:color w:val="000000" w:themeColor="text1"/>
        </w:rPr>
        <w:t xml:space="preserve"> mercury, </w:t>
      </w:r>
      <w:r w:rsidRPr="00767481">
        <w:rPr>
          <w:rFonts w:asciiTheme="minorHAnsi" w:hAnsiTheme="minorHAnsi" w:cstheme="minorHAnsi"/>
          <w:color w:val="000000" w:themeColor="text1"/>
        </w:rPr>
        <w:t xml:space="preserve">arsenic, </w:t>
      </w:r>
      <w:r w:rsidR="001C2446">
        <w:rPr>
          <w:rFonts w:asciiTheme="minorHAnsi" w:hAnsiTheme="minorHAnsi" w:cstheme="minorHAnsi"/>
          <w:color w:val="000000" w:themeColor="text1"/>
        </w:rPr>
        <w:t xml:space="preserve">glyphosate, </w:t>
      </w:r>
      <w:proofErr w:type="spellStart"/>
      <w:r w:rsidR="001C2446">
        <w:rPr>
          <w:rFonts w:asciiTheme="minorHAnsi" w:hAnsiTheme="minorHAnsi" w:cstheme="minorHAnsi"/>
          <w:color w:val="000000" w:themeColor="text1"/>
        </w:rPr>
        <w:t>naled</w:t>
      </w:r>
      <w:proofErr w:type="spellEnd"/>
      <w:r w:rsidR="001C2446">
        <w:rPr>
          <w:rFonts w:asciiTheme="minorHAnsi" w:hAnsiTheme="minorHAnsi" w:cstheme="minorHAnsi"/>
          <w:color w:val="000000" w:themeColor="text1"/>
        </w:rPr>
        <w:t xml:space="preserve">, dicamba, and 2,4-D, </w:t>
      </w:r>
      <w:r w:rsidRPr="00767481">
        <w:rPr>
          <w:rFonts w:asciiTheme="minorHAnsi" w:hAnsiTheme="minorHAnsi" w:cstheme="minorHAnsi"/>
          <w:color w:val="000000" w:themeColor="text1"/>
        </w:rPr>
        <w:t>the end result can be an intolerable health consequence. But the source of each of these toxins can claim to the community that their toxin is safe.</w:t>
      </w:r>
    </w:p>
    <w:p w14:paraId="633E12F6" w14:textId="77777777" w:rsidR="00402C5B" w:rsidRPr="00767481" w:rsidRDefault="00402C5B" w:rsidP="00402C5B">
      <w:pPr>
        <w:pStyle w:val="CSP-ChapterBodyText"/>
        <w:ind w:firstLine="0"/>
        <w:rPr>
          <w:rFonts w:asciiTheme="minorHAnsi" w:hAnsiTheme="minorHAnsi" w:cstheme="minorHAnsi"/>
          <w:color w:val="000000" w:themeColor="text1"/>
        </w:rPr>
      </w:pPr>
    </w:p>
    <w:p w14:paraId="5F6A6193" w14:textId="7777777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In 1978 Congress changed requirements for chemical manufacturers such that they would only be required to test “active ingredients.” Since </w:t>
      </w:r>
      <w:proofErr w:type="gramStart"/>
      <w:r w:rsidRPr="00767481">
        <w:rPr>
          <w:rFonts w:asciiTheme="minorHAnsi" w:hAnsiTheme="minorHAnsi" w:cstheme="minorHAnsi"/>
          <w:color w:val="000000" w:themeColor="text1"/>
        </w:rPr>
        <w:t>then</w:t>
      </w:r>
      <w:proofErr w:type="gramEnd"/>
      <w:r w:rsidRPr="00767481">
        <w:rPr>
          <w:rFonts w:asciiTheme="minorHAnsi" w:hAnsiTheme="minorHAnsi" w:cstheme="minorHAnsi"/>
          <w:color w:val="000000" w:themeColor="text1"/>
        </w:rPr>
        <w:t xml:space="preserve"> it is routine for toxicology experiments to only test exposure to the “active ingredient” in a product. This leaves an important loop hole. “Inactive” compounds, like adjuvants and surfactants, are often toxic as well, sometimes more so, and yet are exempt from testing, and the end product, the commercial mix of active and inactive ingredients, may not be tested at all. </w:t>
      </w:r>
    </w:p>
    <w:p w14:paraId="0F2E280F" w14:textId="77777777" w:rsidR="00402C5B" w:rsidRPr="00767481" w:rsidRDefault="00402C5B" w:rsidP="00402C5B">
      <w:pPr>
        <w:pStyle w:val="CSP-ChapterBodyText"/>
        <w:ind w:firstLine="0"/>
        <w:rPr>
          <w:rFonts w:asciiTheme="minorHAnsi" w:hAnsiTheme="minorHAnsi" w:cstheme="minorHAnsi"/>
          <w:color w:val="000000" w:themeColor="text1"/>
        </w:rPr>
      </w:pPr>
    </w:p>
    <w:p w14:paraId="78C39140" w14:textId="0A37D6AE" w:rsidR="00402C5B" w:rsidRPr="00767481" w:rsidRDefault="00402C5B" w:rsidP="00402C5B">
      <w:pPr>
        <w:pStyle w:val="CSP-ChapterBodyText"/>
        <w:ind w:firstLine="0"/>
        <w:rPr>
          <w:rFonts w:asciiTheme="minorHAnsi" w:hAnsiTheme="minorHAnsi" w:cstheme="minorHAnsi"/>
          <w:color w:val="000000" w:themeColor="text1"/>
          <w:vertAlign w:val="superscript"/>
        </w:rPr>
      </w:pPr>
      <w:r w:rsidRPr="00767481">
        <w:rPr>
          <w:rFonts w:asciiTheme="minorHAnsi" w:hAnsiTheme="minorHAnsi" w:cstheme="minorHAnsi"/>
          <w:color w:val="000000" w:themeColor="text1"/>
        </w:rPr>
        <w:t>Furthermore after 1978, pesticide manufacturers were given the option of registering their commercial products “conditionally,” which allows them to sell them without complete safety data and thousands of pesticides entered the market through that gaping loop hole.</w:t>
      </w:r>
      <w:r w:rsidRPr="00767481">
        <w:rPr>
          <w:rFonts w:asciiTheme="minorHAnsi" w:hAnsiTheme="minorHAnsi" w:cstheme="minorHAnsi"/>
          <w:color w:val="000000" w:themeColor="text1"/>
          <w:vertAlign w:val="superscript"/>
        </w:rPr>
        <w:t>3</w:t>
      </w:r>
      <w:r w:rsidR="00B67E44">
        <w:rPr>
          <w:rFonts w:asciiTheme="minorHAnsi" w:hAnsiTheme="minorHAnsi" w:cstheme="minorHAnsi"/>
          <w:color w:val="000000" w:themeColor="text1"/>
          <w:vertAlign w:val="superscript"/>
        </w:rPr>
        <w:t>8,39</w:t>
      </w:r>
    </w:p>
    <w:p w14:paraId="01A8413C" w14:textId="77777777" w:rsidR="00402C5B" w:rsidRPr="00767481" w:rsidRDefault="00402C5B" w:rsidP="00402C5B">
      <w:pPr>
        <w:pStyle w:val="CSP-ChapterBodyText"/>
        <w:rPr>
          <w:rFonts w:asciiTheme="minorHAnsi" w:hAnsiTheme="minorHAnsi" w:cstheme="minorHAnsi"/>
          <w:color w:val="000000" w:themeColor="text1"/>
        </w:rPr>
      </w:pPr>
    </w:p>
    <w:p w14:paraId="2EDB4D60" w14:textId="7777777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13. Traditional toxicology assessments wrongly assume that we have a comprehensive understanding of the complexity of biological processes and chemical toxicity when in reality there are vast information gaps. Lack of knowledge cannot be equated with safety; it can only be equated with lack of knowledge. Much of that lack of knowledge is deliberately orchestrated by the manufacturers. The most basic information is not available on over 90 percent of the industry inventory of chemical products.  The Government Accountability Office says that 95 percent of the information given to the EPA by companies on their new chemicals are wrapped up in confidentiality claims, which makes them unavailable to regulators. Almost all the data that is available is supplied by the manufacturer whose obvious self-interest obscures objectivity. And the cumulative health impact of exposure to all these chemicals is ignored.</w:t>
      </w:r>
    </w:p>
    <w:p w14:paraId="2E3426A8" w14:textId="77777777" w:rsidR="00402C5B" w:rsidRPr="00767481" w:rsidRDefault="00402C5B" w:rsidP="00402C5B">
      <w:pPr>
        <w:pStyle w:val="CSP-ChapterBodyText"/>
        <w:rPr>
          <w:rFonts w:asciiTheme="minorHAnsi" w:hAnsiTheme="minorHAnsi" w:cstheme="minorHAnsi"/>
          <w:color w:val="000000" w:themeColor="text1"/>
        </w:rPr>
      </w:pPr>
    </w:p>
    <w:p w14:paraId="21BBC4A7" w14:textId="4EF57F4F" w:rsidR="00402C5B"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Manufacturers don’t even have to reveal enough of the chemical mix of their products to allow government agencies to track their spread in the environment or to independently test for toxicity.  The </w:t>
      </w:r>
      <w:r w:rsidR="004958D4" w:rsidRPr="00767481">
        <w:rPr>
          <w:rFonts w:asciiTheme="minorHAnsi" w:hAnsiTheme="minorHAnsi" w:cstheme="minorHAnsi"/>
          <w:color w:val="000000" w:themeColor="text1"/>
        </w:rPr>
        <w:t xml:space="preserve">Toxic Substances Control Act </w:t>
      </w:r>
      <w:r w:rsidR="004958D4">
        <w:rPr>
          <w:rFonts w:asciiTheme="minorHAnsi" w:hAnsiTheme="minorHAnsi" w:cstheme="minorHAnsi"/>
          <w:color w:val="000000" w:themeColor="text1"/>
        </w:rPr>
        <w:t>(</w:t>
      </w:r>
      <w:r w:rsidRPr="00767481">
        <w:rPr>
          <w:rFonts w:asciiTheme="minorHAnsi" w:hAnsiTheme="minorHAnsi" w:cstheme="minorHAnsi"/>
          <w:color w:val="000000" w:themeColor="text1"/>
        </w:rPr>
        <w:t>TSCA</w:t>
      </w:r>
      <w:r w:rsidR="004958D4">
        <w:rPr>
          <w:rFonts w:asciiTheme="minorHAnsi" w:hAnsiTheme="minorHAnsi" w:cstheme="minorHAnsi"/>
          <w:color w:val="000000" w:themeColor="text1"/>
        </w:rPr>
        <w:t>)</w:t>
      </w:r>
      <w:r w:rsidRPr="00767481">
        <w:rPr>
          <w:rFonts w:asciiTheme="minorHAnsi" w:hAnsiTheme="minorHAnsi" w:cstheme="minorHAnsi"/>
          <w:color w:val="000000" w:themeColor="text1"/>
        </w:rPr>
        <w:t xml:space="preserve"> requires manufacturers to submit safety data only if they have it. Most don’t, so EPA is left with computer models to predict whether chemicals will pose health problems, and no one believes that is adequate. Because of chronic underfunding and understaffing they are usually left with contracting out their review of the available science. In the overwhelming majority of </w:t>
      </w:r>
      <w:proofErr w:type="gramStart"/>
      <w:r w:rsidRPr="00767481">
        <w:rPr>
          <w:rFonts w:asciiTheme="minorHAnsi" w:hAnsiTheme="minorHAnsi" w:cstheme="minorHAnsi"/>
          <w:color w:val="000000" w:themeColor="text1"/>
        </w:rPr>
        <w:t>cases</w:t>
      </w:r>
      <w:proofErr w:type="gramEnd"/>
      <w:r w:rsidRPr="00767481">
        <w:rPr>
          <w:rFonts w:asciiTheme="minorHAnsi" w:hAnsiTheme="minorHAnsi" w:cstheme="minorHAnsi"/>
          <w:color w:val="000000" w:themeColor="text1"/>
        </w:rPr>
        <w:t xml:space="preserve"> they merely accept the conclusions of the contract reviewers.</w:t>
      </w:r>
    </w:p>
    <w:p w14:paraId="3B21EAFE" w14:textId="1F40DE54" w:rsidR="002A5219" w:rsidRDefault="002A5219" w:rsidP="00402C5B">
      <w:pPr>
        <w:pStyle w:val="CSP-ChapterBodyText"/>
        <w:ind w:firstLine="0"/>
        <w:rPr>
          <w:rFonts w:asciiTheme="minorHAnsi" w:hAnsiTheme="minorHAnsi" w:cstheme="minorHAnsi"/>
          <w:color w:val="000000" w:themeColor="text1"/>
        </w:rPr>
      </w:pPr>
    </w:p>
    <w:p w14:paraId="03C45689" w14:textId="77777777" w:rsidR="00C4073F" w:rsidRDefault="00C4073F" w:rsidP="002A5219">
      <w:pPr>
        <w:rPr>
          <w:rFonts w:cstheme="minorHAnsi"/>
          <w:b/>
          <w:bCs/>
          <w:color w:val="000000" w:themeColor="text1"/>
        </w:rPr>
      </w:pPr>
    </w:p>
    <w:p w14:paraId="49D9F17A" w14:textId="2166E74E" w:rsidR="002A5219" w:rsidRPr="0019238E" w:rsidRDefault="002A5219" w:rsidP="002A5219">
      <w:pPr>
        <w:rPr>
          <w:rFonts w:cstheme="minorHAnsi"/>
          <w:b/>
          <w:bCs/>
          <w:color w:val="000000" w:themeColor="text1"/>
        </w:rPr>
      </w:pPr>
      <w:r w:rsidRPr="0019238E">
        <w:rPr>
          <w:rFonts w:cstheme="minorHAnsi"/>
          <w:b/>
          <w:bCs/>
          <w:color w:val="000000" w:themeColor="text1"/>
        </w:rPr>
        <w:t>EPA regulatory infrastructure has been captured by the chemical industry</w:t>
      </w:r>
    </w:p>
    <w:p w14:paraId="4911C111" w14:textId="77777777" w:rsidR="002A5219" w:rsidRPr="00767481" w:rsidRDefault="002A5219" w:rsidP="002A5219">
      <w:pPr>
        <w:pStyle w:val="CSP-ChapterBodyText"/>
        <w:ind w:firstLine="0"/>
        <w:jc w:val="right"/>
        <w:rPr>
          <w:rFonts w:asciiTheme="minorHAnsi" w:hAnsiTheme="minorHAnsi" w:cstheme="minorHAnsi"/>
          <w:color w:val="000000" w:themeColor="text1"/>
        </w:rPr>
      </w:pPr>
    </w:p>
    <w:p w14:paraId="49288AA8" w14:textId="77777777" w:rsidR="002A5219" w:rsidRPr="00767481" w:rsidRDefault="002A5219" w:rsidP="002A5219">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Numerous books and investigative reports have documented corporate capture of government regulatory agencies</w:t>
      </w:r>
      <w:r>
        <w:rPr>
          <w:rFonts w:asciiTheme="minorHAnsi" w:hAnsiTheme="minorHAnsi" w:cstheme="minorHAnsi"/>
          <w:color w:val="000000" w:themeColor="text1"/>
        </w:rPr>
        <w:t xml:space="preserve"> (especially the EPA),</w:t>
      </w:r>
      <w:r w:rsidRPr="00767481">
        <w:rPr>
          <w:rFonts w:asciiTheme="minorHAnsi" w:hAnsiTheme="minorHAnsi" w:cstheme="minorHAnsi"/>
          <w:color w:val="000000" w:themeColor="text1"/>
        </w:rPr>
        <w:t xml:space="preserve"> Congress, state legislators, free market think tanks, and </w:t>
      </w:r>
      <w:r w:rsidRPr="00767481">
        <w:rPr>
          <w:rFonts w:asciiTheme="minorHAnsi" w:hAnsiTheme="minorHAnsi" w:cstheme="minorHAnsi"/>
          <w:color w:val="000000" w:themeColor="text1"/>
        </w:rPr>
        <w:lastRenderedPageBreak/>
        <w:t xml:space="preserve">even academia using a Big Tobacco type strategy.  There are almost countless reports of EPA staffers being overruled by senior officials resulting in scientifically unwarranted favorable treatment for pesticides,  corporate influence over research, chemical company lobbyists killing unfavorable legislation, and even collusion with EPA personnel to defend specific pesticide products. The ten-part investigative report by </w:t>
      </w:r>
      <w:r w:rsidRPr="00767481">
        <w:rPr>
          <w:rFonts w:asciiTheme="minorHAnsi" w:hAnsiTheme="minorHAnsi" w:cstheme="minorHAnsi"/>
          <w:i/>
          <w:iCs w:val="0"/>
          <w:color w:val="000000" w:themeColor="text1"/>
        </w:rPr>
        <w:t>The Intercept</w:t>
      </w:r>
      <w:r>
        <w:rPr>
          <w:rFonts w:asciiTheme="minorHAnsi" w:hAnsiTheme="minorHAnsi" w:cstheme="minorHAnsi"/>
          <w:color w:val="000000" w:themeColor="text1"/>
          <w:vertAlign w:val="superscript"/>
        </w:rPr>
        <w:t>28</w:t>
      </w:r>
      <w:r w:rsidRPr="00767481">
        <w:rPr>
          <w:rFonts w:asciiTheme="minorHAnsi" w:hAnsiTheme="minorHAnsi" w:cstheme="minorHAnsi"/>
          <w:color w:val="000000" w:themeColor="text1"/>
        </w:rPr>
        <w:t xml:space="preserve"> is just one of many alarming investigations. Contributing further to these highly compromised relationships is an ongoing revolving door of EPA scientists often moving on to work for industry and sometimes vice versa.  </w:t>
      </w:r>
    </w:p>
    <w:p w14:paraId="335C34EF" w14:textId="77777777" w:rsidR="002A5219" w:rsidRPr="00767481" w:rsidRDefault="002A5219" w:rsidP="002A5219">
      <w:pPr>
        <w:pStyle w:val="CSP-ChapterBodyText"/>
        <w:ind w:firstLine="0"/>
        <w:rPr>
          <w:rFonts w:asciiTheme="minorHAnsi" w:hAnsiTheme="minorHAnsi" w:cstheme="minorHAnsi"/>
          <w:color w:val="000000" w:themeColor="text1"/>
        </w:rPr>
      </w:pPr>
    </w:p>
    <w:p w14:paraId="73678FDC" w14:textId="77777777" w:rsidR="002A5219" w:rsidRDefault="002A5219" w:rsidP="002A5219">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Numerous individual scientists, journalists, and entire organizations drawing negative conclusions, or reporting unfavorable stories about their products, have become victims of vicious attempts by pesticide corporations to silence,  intimidate, smear, and punish them, including losing government and academic positions and funding. Corporate lobbyists have succeeded in enlisting members of Congress to help bully and defund their scientific detrattors.</w:t>
      </w:r>
      <w:r>
        <w:rPr>
          <w:rFonts w:asciiTheme="minorHAnsi" w:hAnsiTheme="minorHAnsi" w:cstheme="minorHAnsi"/>
          <w:color w:val="000000" w:themeColor="text1"/>
          <w:vertAlign w:val="superscript"/>
        </w:rPr>
        <w:t>29</w:t>
      </w:r>
      <w:r w:rsidRPr="00767481">
        <w:rPr>
          <w:rFonts w:asciiTheme="minorHAnsi" w:hAnsiTheme="minorHAnsi" w:cstheme="minorHAnsi"/>
          <w:color w:val="000000" w:themeColor="text1"/>
        </w:rPr>
        <w:t xml:space="preserve"> University departments have become too dependent on donations from agribusiness such that research truly independent of industry has severely contracted and scientists have been pressured to conform to corporate agendas. Court documents in the recent explosion of lawsuits against the manufacturers of pesticides like Roundup and chlorpyrifos add more proof to the case of corruption between industry, academia, and federal agencies, including the EPA. The awarding winning series, </w:t>
      </w:r>
      <w:r w:rsidRPr="00767481">
        <w:rPr>
          <w:rFonts w:asciiTheme="minorHAnsi" w:hAnsiTheme="minorHAnsi" w:cstheme="minorHAnsi"/>
          <w:i/>
          <w:iCs w:val="0"/>
          <w:color w:val="000000" w:themeColor="text1"/>
        </w:rPr>
        <w:t>The Monsanto Papers,</w:t>
      </w:r>
      <w:r w:rsidRPr="00767481">
        <w:rPr>
          <w:rFonts w:asciiTheme="minorHAnsi" w:hAnsiTheme="minorHAnsi" w:cstheme="minorHAnsi"/>
          <w:color w:val="000000" w:themeColor="text1"/>
          <w:vertAlign w:val="superscript"/>
        </w:rPr>
        <w:t>3</w:t>
      </w:r>
      <w:r>
        <w:rPr>
          <w:rFonts w:asciiTheme="minorHAnsi" w:hAnsiTheme="minorHAnsi" w:cstheme="minorHAnsi"/>
          <w:color w:val="000000" w:themeColor="text1"/>
          <w:vertAlign w:val="superscript"/>
        </w:rPr>
        <w:t>0</w:t>
      </w:r>
      <w:r w:rsidRPr="00767481">
        <w:rPr>
          <w:rFonts w:asciiTheme="minorHAnsi" w:hAnsiTheme="minorHAnsi" w:cstheme="minorHAnsi"/>
          <w:color w:val="000000" w:themeColor="text1"/>
        </w:rPr>
        <w:t xml:space="preserve"> by the French newspaper, Le Monde, is another of the more widely known examples of this documentation.</w:t>
      </w:r>
    </w:p>
    <w:p w14:paraId="6706DF5C" w14:textId="77777777" w:rsidR="002A5219" w:rsidRDefault="002A5219" w:rsidP="002A5219">
      <w:pPr>
        <w:pStyle w:val="CSP-ChapterBodyText"/>
        <w:ind w:firstLine="0"/>
        <w:rPr>
          <w:rFonts w:asciiTheme="minorHAnsi" w:hAnsiTheme="minorHAnsi" w:cstheme="minorHAnsi"/>
          <w:color w:val="000000" w:themeColor="text1"/>
        </w:rPr>
      </w:pPr>
    </w:p>
    <w:p w14:paraId="0DB3B0C1" w14:textId="77777777" w:rsidR="002A5219" w:rsidRDefault="002A5219" w:rsidP="002A5219">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Only undeniable health consequences and apparent toxicity after consumer use and wide spread environmental contamination of the products must be reported to the EPA. If this seems like closing the barn door after the horses have already escaped, bear in mind that before 1976, there was no barn door at all preventing or regulating chemicals that were unleashed upon the public</w:t>
      </w:r>
      <w:r>
        <w:rPr>
          <w:rFonts w:asciiTheme="minorHAnsi" w:hAnsiTheme="minorHAnsi" w:cstheme="minorHAnsi"/>
          <w:color w:val="000000" w:themeColor="text1"/>
        </w:rPr>
        <w:t>.</w:t>
      </w:r>
    </w:p>
    <w:p w14:paraId="419097E8" w14:textId="77777777" w:rsidR="002A5219" w:rsidRDefault="002A5219" w:rsidP="002A5219">
      <w:pPr>
        <w:pStyle w:val="CSP-ChapterBodyText"/>
        <w:ind w:firstLine="0"/>
        <w:rPr>
          <w:rFonts w:asciiTheme="minorHAnsi" w:hAnsiTheme="minorHAnsi" w:cstheme="minorHAnsi"/>
          <w:color w:val="000000" w:themeColor="text1"/>
        </w:rPr>
      </w:pPr>
    </w:p>
    <w:p w14:paraId="6320772C" w14:textId="7AFF1D69" w:rsidR="002A5219" w:rsidRPr="00974BE2" w:rsidRDefault="002A5219" w:rsidP="002A5219">
      <w:pPr>
        <w:pStyle w:val="CSP-ChapterBodyText"/>
        <w:ind w:firstLine="0"/>
        <w:rPr>
          <w:rFonts w:asciiTheme="minorHAnsi" w:hAnsiTheme="minorHAnsi" w:cstheme="minorHAnsi"/>
          <w:color w:val="000000" w:themeColor="text1"/>
        </w:rPr>
      </w:pPr>
      <w:r w:rsidRPr="00974BE2">
        <w:rPr>
          <w:rFonts w:asciiTheme="minorHAnsi" w:hAnsiTheme="minorHAnsi" w:cstheme="minorHAnsi"/>
          <w:color w:val="000000" w:themeColor="text1"/>
        </w:rPr>
        <w:t>Because of the obvious short comings of risk assessments, countries in Europe began embracing a more protective approach to toxic chemical exposures guided by the “precautionary principle.” The principle can be expressed this way. When there is reasonable evidence of harm, society is compelled to act to protect the public, rather than wait for scientific proof. This adoption of the precautionary principle was even written into the Maastricht Treaty that formed the European Union. Journalist Peter Montague describes this difference between European and American regulation of chemicals this way. The European model asks, “How much is avoidable?”  The American model asks, “How much harm is acceptable?”</w:t>
      </w:r>
      <w:r w:rsidR="006B51C3" w:rsidRPr="006B51C3">
        <w:rPr>
          <w:rFonts w:asciiTheme="minorHAnsi" w:hAnsiTheme="minorHAnsi" w:cstheme="minorHAnsi"/>
          <w:color w:val="000000" w:themeColor="text1"/>
          <w:vertAlign w:val="superscript"/>
        </w:rPr>
        <w:t>44</w:t>
      </w:r>
      <w:r w:rsidRPr="006B51C3">
        <w:rPr>
          <w:rFonts w:asciiTheme="minorHAnsi" w:hAnsiTheme="minorHAnsi" w:cstheme="minorHAnsi"/>
          <w:color w:val="000000" w:themeColor="text1"/>
          <w:vertAlign w:val="superscript"/>
        </w:rPr>
        <w:t xml:space="preserve"> </w:t>
      </w:r>
      <w:r w:rsidRPr="00974BE2">
        <w:rPr>
          <w:rFonts w:asciiTheme="minorHAnsi" w:hAnsiTheme="minorHAnsi" w:cstheme="minorHAnsi"/>
          <w:color w:val="000000" w:themeColor="text1"/>
        </w:rPr>
        <w:t xml:space="preserve">The United States’ approach prioritizes protection of corporations and chemicals rather than public health. The precautionary principle has not been allowed to enter the arena of </w:t>
      </w:r>
      <w:r w:rsidR="002F6EFD">
        <w:rPr>
          <w:rFonts w:asciiTheme="minorHAnsi" w:hAnsiTheme="minorHAnsi" w:cstheme="minorHAnsi"/>
          <w:color w:val="000000" w:themeColor="text1"/>
        </w:rPr>
        <w:t xml:space="preserve">US </w:t>
      </w:r>
      <w:r w:rsidRPr="00974BE2">
        <w:rPr>
          <w:rFonts w:asciiTheme="minorHAnsi" w:hAnsiTheme="minorHAnsi" w:cstheme="minorHAnsi"/>
          <w:color w:val="000000" w:themeColor="text1"/>
        </w:rPr>
        <w:t xml:space="preserve">government regulation under either Democratic or Republican Administrations because of corporate pressure.  </w:t>
      </w:r>
    </w:p>
    <w:p w14:paraId="6F88AF4B" w14:textId="77777777" w:rsidR="002A5219" w:rsidRPr="00974BE2" w:rsidRDefault="002A5219" w:rsidP="002A5219">
      <w:pPr>
        <w:pStyle w:val="CSP-ChapterBodyText"/>
        <w:rPr>
          <w:rFonts w:asciiTheme="minorHAnsi" w:hAnsiTheme="minorHAnsi" w:cstheme="minorHAnsi"/>
          <w:color w:val="000000" w:themeColor="text1"/>
        </w:rPr>
      </w:pPr>
    </w:p>
    <w:p w14:paraId="69B9C80E" w14:textId="77777777" w:rsidR="002A5219" w:rsidRPr="00767481" w:rsidRDefault="002A5219" w:rsidP="002A5219">
      <w:pPr>
        <w:pStyle w:val="CSP-ChapterBodyText"/>
        <w:ind w:firstLine="0"/>
        <w:rPr>
          <w:rFonts w:asciiTheme="minorHAnsi" w:hAnsiTheme="minorHAnsi" w:cstheme="minorHAnsi"/>
          <w:color w:val="000000" w:themeColor="text1"/>
        </w:rPr>
      </w:pPr>
      <w:r w:rsidRPr="00974BE2">
        <w:rPr>
          <w:rFonts w:asciiTheme="minorHAnsi" w:hAnsiTheme="minorHAnsi" w:cstheme="minorHAnsi"/>
          <w:color w:val="000000" w:themeColor="text1"/>
        </w:rPr>
        <w:t xml:space="preserve">The result has been wide spread, frank regulatory failures. And the failures started with original chemical safety law, the Federal Insecticide, Fungicide, and Rodenticide Act (FIFRA) passed in 1947 which governs  the registration, distribution, sale, and use of pesticides in the United States,  and the Toxic Substances Control Act (TSCA), passed in 1976, both virtually written by the chemical industry. Both laws were designed to prioritize approving chemicals, not protecting public health or the environment. TSCA allowed all 62,000 chemicals that were on the market at </w:t>
      </w:r>
      <w:r w:rsidRPr="00974BE2">
        <w:rPr>
          <w:rFonts w:asciiTheme="minorHAnsi" w:hAnsiTheme="minorHAnsi" w:cstheme="minorHAnsi"/>
          <w:color w:val="000000" w:themeColor="text1"/>
        </w:rPr>
        <w:lastRenderedPageBreak/>
        <w:t>the time to remain so, unless the EPA found at some later time that they represented unacceptable risk. FIFRA requires that the EPA take into account “economic and social costs” and benefits of a pesticide in granting approval, opening an enormous door for vague and often unsubstantiated economic benefits to take priority over public health protection.</w:t>
      </w:r>
    </w:p>
    <w:p w14:paraId="173CAC03" w14:textId="77777777" w:rsidR="002A5219" w:rsidRPr="002F6EFD" w:rsidRDefault="002A5219" w:rsidP="002A5219">
      <w:pPr>
        <w:pStyle w:val="CSP-ChapterBodyText"/>
        <w:ind w:firstLine="0"/>
        <w:rPr>
          <w:rFonts w:asciiTheme="minorHAnsi" w:hAnsiTheme="minorHAnsi" w:cstheme="minorHAnsi"/>
          <w:color w:val="000000" w:themeColor="text1"/>
        </w:rPr>
      </w:pPr>
    </w:p>
    <w:p w14:paraId="0D9FAA49" w14:textId="33239697" w:rsidR="002A5219" w:rsidRPr="002F6EFD" w:rsidRDefault="002A5219" w:rsidP="002A5219">
      <w:pPr>
        <w:pStyle w:val="CSP-ChapterBodyText"/>
        <w:ind w:firstLine="0"/>
        <w:rPr>
          <w:rFonts w:asciiTheme="minorHAnsi" w:hAnsiTheme="minorHAnsi" w:cstheme="minorHAnsi"/>
          <w:color w:val="000000" w:themeColor="text1"/>
        </w:rPr>
      </w:pPr>
      <w:r w:rsidRPr="002F6EFD">
        <w:rPr>
          <w:rFonts w:asciiTheme="minorHAnsi" w:hAnsiTheme="minorHAnsi" w:cstheme="minorHAnsi"/>
          <w:color w:val="000000" w:themeColor="text1"/>
        </w:rPr>
        <w:t xml:space="preserve">Furthermore, the law only allowed testing if information from the chemical makers themselves suggested it was likely to be dangerous. Moreover, the law allowed chemical corporations to claim just about everything was a trade secret allowing them to hide critical information from the public, regulators and even health care providers. As a result, EPA has only tested about 200 of </w:t>
      </w:r>
      <w:r w:rsidR="002F6EFD" w:rsidRPr="002F6EFD">
        <w:rPr>
          <w:rFonts w:asciiTheme="minorHAnsi" w:hAnsiTheme="minorHAnsi" w:cstheme="minorHAnsi"/>
          <w:color w:val="000000" w:themeColor="text1"/>
        </w:rPr>
        <w:t>the</w:t>
      </w:r>
      <w:r w:rsidRPr="002F6EFD">
        <w:rPr>
          <w:rFonts w:asciiTheme="minorHAnsi" w:hAnsiTheme="minorHAnsi" w:cstheme="minorHAnsi"/>
          <w:color w:val="000000" w:themeColor="text1"/>
        </w:rPr>
        <w:t xml:space="preserve"> </w:t>
      </w:r>
      <w:r w:rsidR="002F6EFD" w:rsidRPr="002F6EFD">
        <w:rPr>
          <w:rFonts w:asciiTheme="minorHAnsi" w:hAnsiTheme="minorHAnsi" w:cstheme="minorHAnsi"/>
          <w:color w:val="000000" w:themeColor="text1"/>
        </w:rPr>
        <w:t>hundreds of thousands of</w:t>
      </w:r>
      <w:r w:rsidRPr="002F6EFD">
        <w:rPr>
          <w:rFonts w:asciiTheme="minorHAnsi" w:hAnsiTheme="minorHAnsi" w:cstheme="minorHAnsi"/>
          <w:color w:val="000000" w:themeColor="text1"/>
        </w:rPr>
        <w:t xml:space="preserve"> industrial chemicals produced since WWII. For chemicals entering the market since 1976 they are also allowed unless EPA again determines they constitute unreasonable risk.</w:t>
      </w:r>
      <w:r w:rsidRPr="002F6EFD">
        <w:rPr>
          <w:rFonts w:asciiTheme="minorHAnsi" w:hAnsiTheme="minorHAnsi" w:cstheme="minorHAnsi"/>
          <w:color w:val="000000" w:themeColor="text1"/>
          <w:vertAlign w:val="superscript"/>
        </w:rPr>
        <w:t>43</w:t>
      </w:r>
      <w:r w:rsidRPr="002F6EFD">
        <w:rPr>
          <w:rFonts w:asciiTheme="minorHAnsi" w:hAnsiTheme="minorHAnsi" w:cstheme="minorHAnsi"/>
          <w:color w:val="000000" w:themeColor="text1"/>
        </w:rPr>
        <w:t xml:space="preserve"> But they only have 90 days to make that determination and hardly ever do they have all the data they need. The end result is virtually all the chemicals made by corporations will make it into the bodies of consumers. For example, despite it being an undeniable killer of tens of thousands of people, it is still legal to manufacture and sell asbestos.  </w:t>
      </w:r>
    </w:p>
    <w:p w14:paraId="41547907" w14:textId="77777777" w:rsidR="002A5219" w:rsidRPr="002F6EFD" w:rsidRDefault="002A5219" w:rsidP="002A5219">
      <w:pPr>
        <w:pStyle w:val="CSP-ChapterBodyText"/>
        <w:ind w:firstLine="0"/>
        <w:rPr>
          <w:rFonts w:asciiTheme="minorHAnsi" w:hAnsiTheme="minorHAnsi" w:cstheme="minorHAnsi"/>
          <w:color w:val="000000" w:themeColor="text1"/>
        </w:rPr>
      </w:pPr>
    </w:p>
    <w:p w14:paraId="60B3D875" w14:textId="77777777" w:rsidR="002A5219" w:rsidRPr="002F6EFD" w:rsidRDefault="002A5219" w:rsidP="002A5219">
      <w:pPr>
        <w:pStyle w:val="CSP-ChapterBodyText"/>
        <w:ind w:firstLine="0"/>
        <w:rPr>
          <w:rFonts w:asciiTheme="minorHAnsi" w:hAnsiTheme="minorHAnsi" w:cstheme="minorHAnsi"/>
          <w:color w:val="000000" w:themeColor="text1"/>
        </w:rPr>
      </w:pPr>
      <w:r w:rsidRPr="002F6EFD">
        <w:rPr>
          <w:rFonts w:asciiTheme="minorHAnsi" w:hAnsiTheme="minorHAnsi" w:cstheme="minorHAnsi"/>
          <w:color w:val="000000" w:themeColor="text1"/>
        </w:rPr>
        <w:t>Regulatory impotence flows from the default assumption that industrial chemicals are safe, unless or until, unequivocally proven unsafe. Essentially human consumers are today’s guinea pigs of the chemical industry, just like the previous generation was for DDT, PCBs, asbestos, radiation and lead.  Once a dangerous product is put on the market, it is only withdrawn after it has already caused large scale, undeniable damage and/or death.</w:t>
      </w:r>
    </w:p>
    <w:p w14:paraId="6E83F551" w14:textId="77777777" w:rsidR="002A5219" w:rsidRDefault="002A5219" w:rsidP="002A5219">
      <w:pPr>
        <w:pStyle w:val="CSP-ChapterBodyText"/>
        <w:ind w:firstLine="0"/>
        <w:rPr>
          <w:rFonts w:asciiTheme="minorHAnsi" w:hAnsiTheme="minorHAnsi" w:cstheme="minorHAnsi"/>
          <w:color w:val="FF0000"/>
        </w:rPr>
      </w:pPr>
    </w:p>
    <w:p w14:paraId="57670515" w14:textId="77777777" w:rsidR="002A5219" w:rsidRDefault="002A5219" w:rsidP="002A5219">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A foundational problem in this dynamic is the gross mismatch between a perennially underfunded government agency and the immense wealth of the corporations they are supposed to regulate.  To the extent that public health protection is actually the EPA’s priority, it is continually outfoxed, outmaneuvered, and far outspent by pesticide manufacturers to maintain their profitability.</w:t>
      </w:r>
    </w:p>
    <w:p w14:paraId="169DFE01" w14:textId="46263CC3" w:rsidR="002A5219" w:rsidRDefault="002A5219" w:rsidP="00402C5B">
      <w:pPr>
        <w:pStyle w:val="CSP-ChapterBodyText"/>
        <w:ind w:firstLine="0"/>
        <w:rPr>
          <w:rFonts w:asciiTheme="minorHAnsi" w:hAnsiTheme="minorHAnsi" w:cstheme="minorHAnsi"/>
          <w:color w:val="000000" w:themeColor="text1"/>
        </w:rPr>
      </w:pPr>
    </w:p>
    <w:p w14:paraId="68DDDAA5" w14:textId="2219D225" w:rsidR="00B80077" w:rsidRDefault="00B80077" w:rsidP="00402C5B">
      <w:pPr>
        <w:pStyle w:val="CSP-ChapterBodyText"/>
        <w:ind w:firstLine="0"/>
        <w:rPr>
          <w:rFonts w:asciiTheme="minorHAnsi" w:hAnsiTheme="minorHAnsi" w:cstheme="minorHAnsi"/>
          <w:color w:val="000000" w:themeColor="text1"/>
        </w:rPr>
      </w:pPr>
    </w:p>
    <w:p w14:paraId="3B73ECAF" w14:textId="742A6F50" w:rsidR="00402C5B" w:rsidRDefault="00B80077" w:rsidP="00402C5B">
      <w:pPr>
        <w:pStyle w:val="CSP-ChapterBodyText"/>
        <w:ind w:firstLine="0"/>
        <w:rPr>
          <w:rFonts w:asciiTheme="minorHAnsi" w:hAnsiTheme="minorHAnsi" w:cstheme="minorHAnsi"/>
          <w:b/>
          <w:bCs/>
          <w:color w:val="000000" w:themeColor="text1"/>
        </w:rPr>
      </w:pPr>
      <w:r>
        <w:rPr>
          <w:rFonts w:asciiTheme="minorHAnsi" w:hAnsiTheme="minorHAnsi" w:cstheme="minorHAnsi"/>
          <w:b/>
          <w:bCs/>
          <w:color w:val="000000" w:themeColor="text1"/>
        </w:rPr>
        <w:t>Toxic chemicals, rarely withdrawn, but even then, easily replaced with new toxins</w:t>
      </w:r>
    </w:p>
    <w:p w14:paraId="5312DF0D" w14:textId="77777777" w:rsidR="00B80077" w:rsidRPr="00767481" w:rsidRDefault="00B80077" w:rsidP="00402C5B">
      <w:pPr>
        <w:pStyle w:val="CSP-ChapterBodyText"/>
        <w:ind w:firstLine="0"/>
        <w:rPr>
          <w:rFonts w:asciiTheme="minorHAnsi" w:hAnsiTheme="minorHAnsi" w:cstheme="minorHAnsi"/>
          <w:color w:val="000000" w:themeColor="text1"/>
        </w:rPr>
      </w:pPr>
    </w:p>
    <w:p w14:paraId="694BC5A2" w14:textId="69AE3BCB" w:rsidR="00402C5B" w:rsidRPr="00767481" w:rsidRDefault="00B62939" w:rsidP="00402C5B">
      <w:pPr>
        <w:pStyle w:val="CSP-ChapterBodyText"/>
        <w:ind w:firstLine="0"/>
        <w:rPr>
          <w:rFonts w:asciiTheme="minorHAnsi" w:hAnsiTheme="minorHAnsi" w:cstheme="minorHAnsi"/>
          <w:color w:val="000000" w:themeColor="text1"/>
          <w:vertAlign w:val="superscript"/>
        </w:rPr>
      </w:pPr>
      <w:r>
        <w:rPr>
          <w:rFonts w:asciiTheme="minorHAnsi" w:hAnsiTheme="minorHAnsi" w:cstheme="minorHAnsi"/>
          <w:color w:val="000000" w:themeColor="text1"/>
        </w:rPr>
        <w:t xml:space="preserve">Industry plays chemical whack-a-mole with regulators and the public. </w:t>
      </w:r>
      <w:r w:rsidR="00402C5B" w:rsidRPr="00767481">
        <w:rPr>
          <w:rFonts w:asciiTheme="minorHAnsi" w:hAnsiTheme="minorHAnsi" w:cstheme="minorHAnsi"/>
          <w:color w:val="000000" w:themeColor="text1"/>
        </w:rPr>
        <w:t>In those rare instances where evidence stacks up implicating a chemical as a serious hazard, industry response follows a well-worn path. “By the time the scientific community catches up to one chemical, industry moves on to another and they go back to their playbook of delay and denial,” said Deborah Rice, a former EPA toxicologist who now works for the Maine Center for Disease Control and Prevention.</w:t>
      </w:r>
      <w:r w:rsidR="00B67E44">
        <w:rPr>
          <w:rFonts w:asciiTheme="minorHAnsi" w:hAnsiTheme="minorHAnsi" w:cstheme="minorHAnsi"/>
          <w:color w:val="000000" w:themeColor="text1"/>
          <w:vertAlign w:val="superscript"/>
        </w:rPr>
        <w:t>40</w:t>
      </w:r>
      <w:r w:rsidR="00402C5B" w:rsidRPr="00767481">
        <w:rPr>
          <w:rFonts w:asciiTheme="minorHAnsi" w:hAnsiTheme="minorHAnsi" w:cstheme="minorHAnsi"/>
          <w:color w:val="000000" w:themeColor="text1"/>
          <w:vertAlign w:val="superscript"/>
        </w:rPr>
        <w:t xml:space="preserve"> </w:t>
      </w:r>
    </w:p>
    <w:p w14:paraId="1AE9C819" w14:textId="77777777" w:rsidR="00402C5B" w:rsidRPr="00767481" w:rsidRDefault="00402C5B" w:rsidP="00402C5B">
      <w:pPr>
        <w:pStyle w:val="CSP-ChapterBodyText"/>
        <w:ind w:firstLine="0"/>
        <w:rPr>
          <w:rFonts w:asciiTheme="minorHAnsi" w:hAnsiTheme="minorHAnsi" w:cstheme="minorHAnsi"/>
          <w:color w:val="000000" w:themeColor="text1"/>
          <w:vertAlign w:val="superscript"/>
        </w:rPr>
      </w:pPr>
    </w:p>
    <w:p w14:paraId="6804DA9C" w14:textId="48EFB8CF" w:rsidR="00104668"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Industry has followed this path persistently from the outset. When DDT and organochlorides were found to be unacceptably toxic, industry replaced them with  malathion and chlorpyrifos. When they were found to also be toxic, they were was largely replaced by other organophosphates (OP). When the OPs were also found to toxic, they were replaced with neonicotinoids and pyrethroids. These chemical groups have also been found to be toxic. When glyphosate was found to be carcinogenic, paraquat was marketed as a safer alternative, but it’s </w:t>
      </w:r>
      <w:r w:rsidRPr="00767481">
        <w:rPr>
          <w:rFonts w:asciiTheme="minorHAnsi" w:hAnsiTheme="minorHAnsi" w:cstheme="minorHAnsi"/>
          <w:color w:val="000000" w:themeColor="text1"/>
        </w:rPr>
        <w:lastRenderedPageBreak/>
        <w:t xml:space="preserve">connection to Parkinson’s was established 40 years ago. This ongoing merry-go-round of always replacing one toxic chemical with another that is also eventually found to be toxic verifies what is common sense: that </w:t>
      </w:r>
      <w:r w:rsidRPr="00B62939">
        <w:rPr>
          <w:rFonts w:asciiTheme="minorHAnsi" w:hAnsiTheme="minorHAnsi" w:cstheme="minorHAnsi"/>
          <w:b/>
          <w:bCs/>
          <w:color w:val="000000" w:themeColor="text1"/>
        </w:rPr>
        <w:t xml:space="preserve">chemicals toxic enough to be fatal to the microbiological world are inevitably found to be toxic to the </w:t>
      </w:r>
      <w:proofErr w:type="spellStart"/>
      <w:r w:rsidRPr="00B62939">
        <w:rPr>
          <w:rFonts w:asciiTheme="minorHAnsi" w:hAnsiTheme="minorHAnsi" w:cstheme="minorHAnsi"/>
          <w:b/>
          <w:bCs/>
          <w:color w:val="000000" w:themeColor="text1"/>
        </w:rPr>
        <w:t>macrobiological</w:t>
      </w:r>
      <w:proofErr w:type="spellEnd"/>
      <w:r w:rsidRPr="00B62939">
        <w:rPr>
          <w:rFonts w:asciiTheme="minorHAnsi" w:hAnsiTheme="minorHAnsi" w:cstheme="minorHAnsi"/>
          <w:b/>
          <w:bCs/>
          <w:color w:val="000000" w:themeColor="text1"/>
        </w:rPr>
        <w:t xml:space="preserve"> world. </w:t>
      </w:r>
      <w:r w:rsidRPr="00767481">
        <w:rPr>
          <w:rFonts w:asciiTheme="minorHAnsi" w:hAnsiTheme="minorHAnsi" w:cstheme="minorHAnsi"/>
          <w:color w:val="000000" w:themeColor="text1"/>
        </w:rPr>
        <w:t xml:space="preserve"> </w:t>
      </w:r>
      <w:r w:rsidR="00104668">
        <w:rPr>
          <w:rFonts w:asciiTheme="minorHAnsi" w:hAnsiTheme="minorHAnsi" w:cstheme="minorHAnsi"/>
          <w:color w:val="000000" w:themeColor="text1"/>
        </w:rPr>
        <w:t xml:space="preserve">DDT is one of the few pesticides to be withdrawn permanently from the market by EPA.  EPA now “manages” the registration of </w:t>
      </w:r>
      <w:r w:rsidR="00B572FF">
        <w:rPr>
          <w:rFonts w:asciiTheme="minorHAnsi" w:hAnsiTheme="minorHAnsi" w:cstheme="minorHAnsi"/>
          <w:color w:val="000000" w:themeColor="text1"/>
        </w:rPr>
        <w:t xml:space="preserve">16,800 pesticides, with 1,200 active ingredients. </w:t>
      </w:r>
    </w:p>
    <w:p w14:paraId="74660658" w14:textId="77777777" w:rsidR="004958D4" w:rsidRDefault="004958D4" w:rsidP="00402C5B">
      <w:pPr>
        <w:pStyle w:val="CSP-ChapterBodyText"/>
        <w:ind w:firstLine="0"/>
        <w:rPr>
          <w:rFonts w:asciiTheme="minorHAnsi" w:hAnsiTheme="minorHAnsi" w:cstheme="minorHAnsi"/>
          <w:color w:val="000000" w:themeColor="text1"/>
        </w:rPr>
      </w:pPr>
    </w:p>
    <w:p w14:paraId="3A9F722E" w14:textId="0CFB3BA9" w:rsidR="006E0D2C" w:rsidRPr="00E933B1" w:rsidRDefault="004958D4" w:rsidP="006E0D2C">
      <w:pPr>
        <w:pStyle w:val="CSP-ChapterBodyText"/>
        <w:ind w:firstLine="0"/>
        <w:rPr>
          <w:rFonts w:asciiTheme="minorHAnsi" w:hAnsiTheme="minorHAnsi" w:cstheme="minorHAnsi"/>
          <w:color w:val="000000" w:themeColor="text1"/>
          <w:vertAlign w:val="superscript"/>
        </w:rPr>
      </w:pPr>
      <w:r w:rsidRPr="006E0D2C">
        <w:rPr>
          <w:rFonts w:asciiTheme="minorHAnsi" w:hAnsiTheme="minorHAnsi" w:cstheme="minorHAnsi"/>
          <w:b/>
          <w:bCs/>
          <w:color w:val="000000" w:themeColor="text1"/>
        </w:rPr>
        <w:t xml:space="preserve">The end result is that </w:t>
      </w:r>
      <w:r w:rsidR="006E0D2C" w:rsidRPr="006E0D2C">
        <w:rPr>
          <w:rFonts w:asciiTheme="minorHAnsi" w:hAnsiTheme="minorHAnsi" w:cstheme="minorHAnsi"/>
          <w:b/>
          <w:bCs/>
          <w:color w:val="000000" w:themeColor="text1"/>
        </w:rPr>
        <w:t>there is virtually no pesticide too toxic for EPA to allow on the market place, and once there, it is almost guaranteed to remain there.</w:t>
      </w:r>
      <w:r w:rsidR="006E0D2C">
        <w:rPr>
          <w:rFonts w:asciiTheme="minorHAnsi" w:hAnsiTheme="minorHAnsi" w:cstheme="minorHAnsi"/>
          <w:b/>
          <w:bCs/>
          <w:color w:val="000000" w:themeColor="text1"/>
        </w:rPr>
        <w:t xml:space="preserve"> </w:t>
      </w:r>
      <w:r w:rsidR="006E0D2C" w:rsidRPr="006E0D2C">
        <w:rPr>
          <w:rFonts w:asciiTheme="minorHAnsi" w:hAnsiTheme="minorHAnsi" w:cstheme="minorHAnsi"/>
          <w:color w:val="000000" w:themeColor="text1"/>
        </w:rPr>
        <w:t>B</w:t>
      </w:r>
      <w:r>
        <w:rPr>
          <w:rFonts w:asciiTheme="minorHAnsi" w:hAnsiTheme="minorHAnsi" w:cstheme="minorHAnsi"/>
          <w:color w:val="000000" w:themeColor="text1"/>
        </w:rPr>
        <w:t>etween 2000 and 2010 EPA has only forced four pesticides off the market, and only one since then.  By comparison, the European Union has banned or restricted 1,000 chemicals just since 2007.</w:t>
      </w:r>
      <w:r w:rsidR="006E0D2C">
        <w:rPr>
          <w:rFonts w:asciiTheme="minorHAnsi" w:hAnsiTheme="minorHAnsi" w:cstheme="minorHAnsi"/>
          <w:color w:val="000000" w:themeColor="text1"/>
        </w:rPr>
        <w:t xml:space="preserve"> </w:t>
      </w:r>
      <w:r w:rsidR="006E0D2C" w:rsidRPr="004958D4">
        <w:rPr>
          <w:rFonts w:asciiTheme="minorHAnsi" w:hAnsiTheme="minorHAnsi" w:cstheme="minorHAnsi"/>
          <w:color w:val="000000" w:themeColor="text1"/>
        </w:rPr>
        <w:t>The EPA has approved 85 pesticides that have been banned or are being phased out in other countries,232 including some banned in countries like China and Brazil which are hardly known for robust environmental protection. In fact, recent documents reveal that the US EPA has been directly involved with chemical industry lobbyists in pressuring countries like Mexico to reverse their ban on certain pesticides.</w:t>
      </w:r>
      <w:r w:rsidR="00E933B1" w:rsidRPr="00E933B1">
        <w:rPr>
          <w:rFonts w:asciiTheme="minorHAnsi" w:hAnsiTheme="minorHAnsi" w:cstheme="minorHAnsi"/>
          <w:color w:val="000000" w:themeColor="text1"/>
          <w:vertAlign w:val="superscript"/>
        </w:rPr>
        <w:t>42</w:t>
      </w:r>
    </w:p>
    <w:p w14:paraId="2CB0EF99" w14:textId="1AE48FC9" w:rsidR="009D2F3C" w:rsidRDefault="009D2F3C" w:rsidP="006E0D2C">
      <w:pPr>
        <w:pStyle w:val="CSP-ChapterBodyText"/>
        <w:ind w:firstLine="0"/>
        <w:rPr>
          <w:rFonts w:asciiTheme="minorHAnsi" w:hAnsiTheme="minorHAnsi" w:cstheme="minorHAnsi"/>
          <w:color w:val="000000" w:themeColor="text1"/>
        </w:rPr>
      </w:pPr>
    </w:p>
    <w:p w14:paraId="4D6CC545" w14:textId="447B6A75" w:rsidR="009D2F3C" w:rsidRPr="00FB7B65" w:rsidRDefault="009D2F3C" w:rsidP="006E0D2C">
      <w:pPr>
        <w:pStyle w:val="CSP-ChapterBodyText"/>
        <w:ind w:firstLine="0"/>
        <w:rPr>
          <w:rFonts w:asciiTheme="minorHAnsi" w:hAnsiTheme="minorHAnsi" w:cstheme="minorHAnsi"/>
          <w:b/>
          <w:bCs/>
          <w:color w:val="000000" w:themeColor="text1"/>
        </w:rPr>
      </w:pPr>
      <w:r w:rsidRPr="00FB7B65">
        <w:rPr>
          <w:rFonts w:asciiTheme="minorHAnsi" w:hAnsiTheme="minorHAnsi" w:cstheme="minorHAnsi"/>
          <w:b/>
          <w:bCs/>
          <w:color w:val="000000" w:themeColor="text1"/>
        </w:rPr>
        <w:t xml:space="preserve">A few of many </w:t>
      </w:r>
      <w:r w:rsidR="00FB7B65" w:rsidRPr="00FB7B65">
        <w:rPr>
          <w:rFonts w:asciiTheme="minorHAnsi" w:hAnsiTheme="minorHAnsi" w:cstheme="minorHAnsi"/>
          <w:b/>
          <w:bCs/>
          <w:color w:val="000000" w:themeColor="text1"/>
        </w:rPr>
        <w:t xml:space="preserve">specific </w:t>
      </w:r>
      <w:r w:rsidRPr="00FB7B65">
        <w:rPr>
          <w:rFonts w:asciiTheme="minorHAnsi" w:hAnsiTheme="minorHAnsi" w:cstheme="minorHAnsi"/>
          <w:b/>
          <w:bCs/>
          <w:color w:val="000000" w:themeColor="text1"/>
        </w:rPr>
        <w:t>examples of regulatory failure and misconduct by EPA</w:t>
      </w:r>
      <w:r w:rsidR="00FB7B65" w:rsidRPr="00FB7B65">
        <w:rPr>
          <w:rFonts w:asciiTheme="minorHAnsi" w:hAnsiTheme="minorHAnsi" w:cstheme="minorHAnsi"/>
          <w:b/>
          <w:bCs/>
          <w:color w:val="000000" w:themeColor="text1"/>
        </w:rPr>
        <w:t>:</w:t>
      </w:r>
    </w:p>
    <w:p w14:paraId="35CF2CC5" w14:textId="67F55CC1" w:rsidR="009D2F3C" w:rsidRDefault="009D2F3C" w:rsidP="006E0D2C">
      <w:pPr>
        <w:pStyle w:val="CSP-ChapterBodyText"/>
        <w:ind w:firstLine="0"/>
        <w:rPr>
          <w:rFonts w:asciiTheme="minorHAnsi" w:hAnsiTheme="minorHAnsi" w:cstheme="minorHAnsi"/>
          <w:color w:val="000000" w:themeColor="text1"/>
        </w:rPr>
      </w:pPr>
    </w:p>
    <w:p w14:paraId="4EBEEE62" w14:textId="3F651F3A" w:rsidR="009D2F3C" w:rsidRPr="00FB7B65" w:rsidRDefault="009D2F3C" w:rsidP="009D2F3C">
      <w:pPr>
        <w:rPr>
          <w:rFonts w:cstheme="minorHAnsi"/>
          <w:color w:val="000000" w:themeColor="text1"/>
        </w:rPr>
      </w:pPr>
      <w:r w:rsidRPr="00FB7B65">
        <w:rPr>
          <w:rFonts w:cstheme="minorHAnsi"/>
          <w:color w:val="000000" w:themeColor="text1"/>
        </w:rPr>
        <w:t xml:space="preserve">The use of aldicarb, one of the few pesticides designated as “extremely hazardous” by the World Health Organization and banned in 125 different countries around the world, was recently expanded by the EPA.  This is the same pesticide that was responsible for the largest known outbreak of food-borne pesticide illness in the U.S. when over 1,300 people fell ill after eating contaminated watermelons in the 1980s.  </w:t>
      </w:r>
    </w:p>
    <w:p w14:paraId="55CB4D35" w14:textId="77777777" w:rsidR="009D2F3C" w:rsidRPr="00FB7B65" w:rsidRDefault="009D2F3C" w:rsidP="009D2F3C">
      <w:pPr>
        <w:rPr>
          <w:rFonts w:cstheme="minorHAnsi"/>
          <w:color w:val="000000" w:themeColor="text1"/>
        </w:rPr>
      </w:pPr>
    </w:p>
    <w:p w14:paraId="735DDAF1" w14:textId="2E28DD22" w:rsidR="009D2F3C" w:rsidRPr="00FB7B65" w:rsidRDefault="009D2F3C" w:rsidP="009D2F3C">
      <w:pPr>
        <w:rPr>
          <w:rFonts w:cstheme="minorHAnsi"/>
          <w:color w:val="000000" w:themeColor="text1"/>
        </w:rPr>
      </w:pPr>
      <w:r w:rsidRPr="00FB7B65">
        <w:rPr>
          <w:rFonts w:cstheme="minorHAnsi"/>
          <w:color w:val="000000" w:themeColor="text1"/>
        </w:rPr>
        <w:t>Pentachlorophenol (“</w:t>
      </w:r>
      <w:proofErr w:type="spellStart"/>
      <w:r w:rsidRPr="00FB7B65">
        <w:rPr>
          <w:rFonts w:cstheme="minorHAnsi"/>
          <w:color w:val="000000" w:themeColor="text1"/>
        </w:rPr>
        <w:t>penta</w:t>
      </w:r>
      <w:proofErr w:type="spellEnd"/>
      <w:r w:rsidRPr="00FB7B65">
        <w:rPr>
          <w:rFonts w:cstheme="minorHAnsi"/>
          <w:color w:val="000000" w:themeColor="text1"/>
        </w:rPr>
        <w:t xml:space="preserve">”), a pesticide used since the 1930s to preserve the wooden utility poles that hold electrical and telephone lines throughout the country. In 2015, </w:t>
      </w:r>
      <w:proofErr w:type="spellStart"/>
      <w:r w:rsidRPr="00FB7B65">
        <w:rPr>
          <w:rFonts w:cstheme="minorHAnsi"/>
          <w:color w:val="000000" w:themeColor="text1"/>
        </w:rPr>
        <w:t>penta</w:t>
      </w:r>
      <w:proofErr w:type="spellEnd"/>
      <w:r w:rsidRPr="00FB7B65">
        <w:rPr>
          <w:rFonts w:cstheme="minorHAnsi"/>
          <w:color w:val="000000" w:themeColor="text1"/>
        </w:rPr>
        <w:t xml:space="preserve"> was listed in Annex A of the Stockholm Convention, an international treaty designed to globally eliminate the most toxic and persistent chemicals ever used.</w:t>
      </w:r>
      <w:r w:rsidR="00FB7B65" w:rsidRPr="00FB7B65">
        <w:rPr>
          <w:rFonts w:cstheme="minorHAnsi"/>
          <w:color w:val="000000" w:themeColor="text1"/>
        </w:rPr>
        <w:t xml:space="preserve"> </w:t>
      </w:r>
      <w:r w:rsidRPr="00FB7B65">
        <w:rPr>
          <w:rFonts w:cstheme="minorHAnsi"/>
          <w:color w:val="000000" w:themeColor="text1"/>
        </w:rPr>
        <w:t xml:space="preserve">The treaty has been signed and ratified by 184 countries around the world. The listing of </w:t>
      </w:r>
      <w:proofErr w:type="spellStart"/>
      <w:r w:rsidRPr="00FB7B65">
        <w:rPr>
          <w:rFonts w:cstheme="minorHAnsi"/>
          <w:color w:val="000000" w:themeColor="text1"/>
        </w:rPr>
        <w:t>penta</w:t>
      </w:r>
      <w:proofErr w:type="spellEnd"/>
      <w:r w:rsidRPr="00FB7B65">
        <w:rPr>
          <w:rFonts w:cstheme="minorHAnsi"/>
          <w:color w:val="000000" w:themeColor="text1"/>
        </w:rPr>
        <w:t xml:space="preserve">, a potent carcinogen, on the Stockholm Convention essentially banned its use across most of the world. The U.S. is one of just a handful of countries that has not ratified this treaty and, thus, is not obligated to comply with its charge. Just last year, the EPA announced that it would finally be cancelling all uses of </w:t>
      </w:r>
      <w:proofErr w:type="spellStart"/>
      <w:r w:rsidRPr="00FB7B65">
        <w:rPr>
          <w:rFonts w:cstheme="minorHAnsi"/>
          <w:color w:val="000000" w:themeColor="text1"/>
        </w:rPr>
        <w:t>penta</w:t>
      </w:r>
      <w:proofErr w:type="spellEnd"/>
      <w:r w:rsidRPr="00FB7B65">
        <w:rPr>
          <w:rFonts w:cstheme="minorHAnsi"/>
          <w:color w:val="000000" w:themeColor="text1"/>
        </w:rPr>
        <w:t xml:space="preserve"> with a phaseout period of six years—to be completed in February 2027. When all is said and done, it will end up taking one of the richest, most powerful countries in the world 12 years just to do what the rest of the world has already achieved.</w:t>
      </w:r>
    </w:p>
    <w:p w14:paraId="72A556F2" w14:textId="77777777" w:rsidR="009D2F3C" w:rsidRPr="00FB7B65" w:rsidRDefault="009D2F3C" w:rsidP="009D2F3C">
      <w:pPr>
        <w:rPr>
          <w:rFonts w:cstheme="minorHAnsi"/>
          <w:color w:val="000000" w:themeColor="text1"/>
        </w:rPr>
      </w:pPr>
    </w:p>
    <w:p w14:paraId="4C056472" w14:textId="1EBE3A03" w:rsidR="009D2F3C" w:rsidRPr="00FB7B65" w:rsidRDefault="00FB7B65" w:rsidP="009D2F3C">
      <w:pPr>
        <w:rPr>
          <w:rFonts w:cstheme="minorHAnsi"/>
          <w:color w:val="000000" w:themeColor="text1"/>
        </w:rPr>
      </w:pPr>
      <w:proofErr w:type="spellStart"/>
      <w:r>
        <w:rPr>
          <w:rFonts w:cstheme="minorHAnsi"/>
          <w:color w:val="000000" w:themeColor="text1"/>
        </w:rPr>
        <w:t>E</w:t>
      </w:r>
      <w:r w:rsidR="009D2F3C" w:rsidRPr="00FB7B65">
        <w:rPr>
          <w:rFonts w:cstheme="minorHAnsi"/>
          <w:color w:val="000000" w:themeColor="text1"/>
        </w:rPr>
        <w:t>ndosulfan</w:t>
      </w:r>
      <w:proofErr w:type="spellEnd"/>
      <w:r w:rsidR="009D2F3C" w:rsidRPr="00FB7B65">
        <w:rPr>
          <w:rFonts w:cstheme="minorHAnsi"/>
          <w:color w:val="000000" w:themeColor="text1"/>
        </w:rPr>
        <w:t>, a chemical listed in the Stockholm Convention and banned throughout much of the world in 2011</w:t>
      </w:r>
      <w:r w:rsidR="003917FA">
        <w:rPr>
          <w:rFonts w:cstheme="minorHAnsi"/>
          <w:color w:val="000000" w:themeColor="text1"/>
        </w:rPr>
        <w:t>, was</w:t>
      </w:r>
      <w:r w:rsidR="009D2F3C" w:rsidRPr="00FB7B65">
        <w:rPr>
          <w:rFonts w:cstheme="minorHAnsi"/>
          <w:color w:val="000000" w:themeColor="text1"/>
        </w:rPr>
        <w:t xml:space="preserve"> only phased out in the U.S. </w:t>
      </w:r>
      <w:r>
        <w:rPr>
          <w:rFonts w:cstheme="minorHAnsi"/>
          <w:color w:val="000000" w:themeColor="text1"/>
        </w:rPr>
        <w:t xml:space="preserve">beginning </w:t>
      </w:r>
      <w:r w:rsidR="009D2F3C" w:rsidRPr="00FB7B65">
        <w:rPr>
          <w:rFonts w:cstheme="minorHAnsi"/>
          <w:color w:val="000000" w:themeColor="text1"/>
        </w:rPr>
        <w:t>in 2016—five years later</w:t>
      </w:r>
      <w:r w:rsidRPr="00FB7B65">
        <w:rPr>
          <w:rFonts w:cstheme="minorHAnsi"/>
          <w:color w:val="000000" w:themeColor="text1"/>
        </w:rPr>
        <w:t>.</w:t>
      </w:r>
    </w:p>
    <w:p w14:paraId="45CE0240" w14:textId="502AB6B7" w:rsidR="00402C5B" w:rsidRPr="00767481" w:rsidRDefault="00402C5B" w:rsidP="00402C5B">
      <w:pPr>
        <w:pStyle w:val="CSP-ChapterBodyText"/>
        <w:ind w:firstLine="0"/>
        <w:rPr>
          <w:rFonts w:asciiTheme="minorHAnsi" w:hAnsiTheme="minorHAnsi" w:cstheme="minorHAnsi"/>
          <w:color w:val="000000" w:themeColor="text1"/>
        </w:rPr>
      </w:pPr>
      <w:r w:rsidRPr="00767481">
        <w:rPr>
          <w:rFonts w:asciiTheme="minorHAnsi" w:hAnsiTheme="minorHAnsi" w:cstheme="minorHAnsi"/>
          <w:color w:val="000000" w:themeColor="text1"/>
        </w:rPr>
        <w:t xml:space="preserve"> </w:t>
      </w:r>
    </w:p>
    <w:p w14:paraId="0B392446" w14:textId="77777777" w:rsidR="00402C5B" w:rsidRPr="00767481" w:rsidRDefault="00402C5B" w:rsidP="00402C5B">
      <w:pPr>
        <w:pStyle w:val="CSP-ChapterBodyText"/>
        <w:rPr>
          <w:rFonts w:asciiTheme="minorHAnsi" w:hAnsiTheme="minorHAnsi" w:cstheme="minorHAnsi"/>
          <w:color w:val="000000" w:themeColor="text1"/>
        </w:rPr>
      </w:pPr>
    </w:p>
    <w:p w14:paraId="60BF6199" w14:textId="082528EB" w:rsidR="00767481" w:rsidRDefault="00767481" w:rsidP="00402C5B">
      <w:pPr>
        <w:pStyle w:val="CSP-ChapterBodyText"/>
        <w:ind w:firstLine="0"/>
        <w:rPr>
          <w:rFonts w:asciiTheme="minorHAnsi" w:hAnsiTheme="minorHAnsi" w:cstheme="minorHAnsi"/>
          <w:color w:val="000000" w:themeColor="text1"/>
        </w:rPr>
      </w:pPr>
    </w:p>
    <w:p w14:paraId="149F7F83" w14:textId="74522A5A" w:rsidR="00E933B1" w:rsidRPr="00E933B1" w:rsidRDefault="00E933B1" w:rsidP="00402C5B">
      <w:pPr>
        <w:pStyle w:val="CSP-ChapterBodyText"/>
        <w:ind w:firstLine="0"/>
        <w:rPr>
          <w:rFonts w:asciiTheme="minorHAnsi" w:hAnsiTheme="minorHAnsi" w:cstheme="minorHAnsi"/>
          <w:b/>
          <w:bCs/>
          <w:i/>
          <w:iCs w:val="0"/>
          <w:color w:val="000000" w:themeColor="text1"/>
          <w:u w:val="single"/>
        </w:rPr>
      </w:pPr>
      <w:r w:rsidRPr="00E933B1">
        <w:rPr>
          <w:rFonts w:asciiTheme="minorHAnsi" w:hAnsiTheme="minorHAnsi" w:cstheme="minorHAnsi"/>
          <w:b/>
          <w:bCs/>
          <w:i/>
          <w:iCs w:val="0"/>
          <w:color w:val="000000" w:themeColor="text1"/>
          <w:u w:val="single"/>
        </w:rPr>
        <w:t>References</w:t>
      </w:r>
    </w:p>
    <w:p w14:paraId="54E18820" w14:textId="6B302032" w:rsidR="00767481" w:rsidRPr="00767481" w:rsidRDefault="00767481" w:rsidP="00402C5B">
      <w:pPr>
        <w:pStyle w:val="CSP-ChapterBodyText"/>
        <w:ind w:firstLine="0"/>
        <w:rPr>
          <w:rFonts w:asciiTheme="minorHAnsi" w:hAnsiTheme="minorHAnsi" w:cstheme="minorHAnsi"/>
          <w:color w:val="000000" w:themeColor="text1"/>
        </w:rPr>
      </w:pPr>
    </w:p>
    <w:p w14:paraId="7C3B16CC" w14:textId="77777777" w:rsidR="00E933B1" w:rsidRDefault="00E933B1" w:rsidP="00E933B1">
      <w:pPr>
        <w:rPr>
          <w:i/>
          <w:iCs/>
        </w:rPr>
      </w:pPr>
      <w:r>
        <w:rPr>
          <w:i/>
          <w:iCs/>
        </w:rPr>
        <w:lastRenderedPageBreak/>
        <w:t xml:space="preserve">1.  </w:t>
      </w:r>
      <w:r w:rsidRPr="00187471">
        <w:rPr>
          <w:i/>
          <w:iCs/>
        </w:rPr>
        <w:t xml:space="preserve">Vandenberg L, et al. Hormones and Endocrine-Disrupting Chemicals: Low-Dose Effects and Nonmonotonic Dose Responses. </w:t>
      </w:r>
      <w:proofErr w:type="spellStart"/>
      <w:r w:rsidRPr="00187471">
        <w:rPr>
          <w:i/>
          <w:iCs/>
        </w:rPr>
        <w:t>Endocr</w:t>
      </w:r>
      <w:proofErr w:type="spellEnd"/>
      <w:r w:rsidRPr="00187471">
        <w:rPr>
          <w:i/>
          <w:iCs/>
        </w:rPr>
        <w:t xml:space="preserve"> Rev. 2012 Jun; 33(3): 378–455. Published online 2012 Mar 14. </w:t>
      </w:r>
      <w:proofErr w:type="spellStart"/>
      <w:r w:rsidRPr="00187471">
        <w:rPr>
          <w:i/>
          <w:iCs/>
        </w:rPr>
        <w:t>doi</w:t>
      </w:r>
      <w:proofErr w:type="spellEnd"/>
      <w:r w:rsidRPr="00187471">
        <w:rPr>
          <w:i/>
          <w:iCs/>
        </w:rPr>
        <w:t>: 10.1210/er.2011-1050 PMCID: PMC3365860</w:t>
      </w:r>
    </w:p>
    <w:p w14:paraId="01E6994F" w14:textId="77777777" w:rsidR="00E933B1" w:rsidRDefault="00E933B1" w:rsidP="00E933B1">
      <w:pPr>
        <w:rPr>
          <w:i/>
          <w:iCs/>
        </w:rPr>
      </w:pPr>
    </w:p>
    <w:p w14:paraId="06940F4B" w14:textId="77777777" w:rsidR="00E933B1" w:rsidRPr="00187471" w:rsidRDefault="00E933B1" w:rsidP="00E933B1">
      <w:pPr>
        <w:rPr>
          <w:i/>
          <w:iCs/>
        </w:rPr>
      </w:pPr>
      <w:r>
        <w:rPr>
          <w:i/>
          <w:iCs/>
        </w:rPr>
        <w:t xml:space="preserve">2.  </w:t>
      </w:r>
      <w:r w:rsidRPr="00187471">
        <w:rPr>
          <w:i/>
          <w:iCs/>
        </w:rPr>
        <w:t>https://www.ehn.org/when-safe-may-not-really-be-safe-2621578745/legal-doesnt-mean-safe</w:t>
      </w:r>
    </w:p>
    <w:p w14:paraId="791B6E70" w14:textId="77777777" w:rsidR="00E933B1" w:rsidRDefault="00E933B1" w:rsidP="00E933B1"/>
    <w:p w14:paraId="2C68A661" w14:textId="77777777" w:rsidR="00E933B1" w:rsidRPr="00327293" w:rsidRDefault="00E933B1" w:rsidP="00E933B1">
      <w:pPr>
        <w:rPr>
          <w:i/>
          <w:iCs/>
        </w:rPr>
      </w:pPr>
      <w:r w:rsidRPr="00327293">
        <w:rPr>
          <w:i/>
          <w:iCs/>
        </w:rPr>
        <w:t xml:space="preserve">3.  Zhu L, Li W, </w:t>
      </w:r>
      <w:proofErr w:type="spellStart"/>
      <w:r w:rsidRPr="00327293">
        <w:rPr>
          <w:i/>
          <w:iCs/>
        </w:rPr>
        <w:t>Zha</w:t>
      </w:r>
      <w:proofErr w:type="spellEnd"/>
      <w:r w:rsidRPr="00327293">
        <w:rPr>
          <w:i/>
          <w:iCs/>
        </w:rPr>
        <w:t xml:space="preserve"> J, Wang Z. Dicamba affects sex steroid hormone level and mRNA expression of related genes in adult rare minnow (</w:t>
      </w:r>
      <w:proofErr w:type="spellStart"/>
      <w:r w:rsidRPr="00327293">
        <w:rPr>
          <w:i/>
          <w:iCs/>
        </w:rPr>
        <w:t>Gobiocypris</w:t>
      </w:r>
      <w:proofErr w:type="spellEnd"/>
      <w:r w:rsidRPr="00327293">
        <w:rPr>
          <w:i/>
          <w:iCs/>
        </w:rPr>
        <w:t xml:space="preserve"> </w:t>
      </w:r>
      <w:proofErr w:type="spellStart"/>
      <w:r w:rsidRPr="00327293">
        <w:rPr>
          <w:i/>
          <w:iCs/>
        </w:rPr>
        <w:t>rarus</w:t>
      </w:r>
      <w:proofErr w:type="spellEnd"/>
      <w:r w:rsidRPr="00327293">
        <w:rPr>
          <w:i/>
          <w:iCs/>
        </w:rPr>
        <w:t xml:space="preserve">) at environmentally relevant concentrations. Environ </w:t>
      </w:r>
      <w:proofErr w:type="spellStart"/>
      <w:r w:rsidRPr="00327293">
        <w:rPr>
          <w:i/>
          <w:iCs/>
        </w:rPr>
        <w:t>Toxicol</w:t>
      </w:r>
      <w:proofErr w:type="spellEnd"/>
      <w:r w:rsidRPr="00327293">
        <w:rPr>
          <w:i/>
          <w:iCs/>
        </w:rPr>
        <w:t xml:space="preserve">. 2015 May-Jun;30(6):693-703. </w:t>
      </w:r>
      <w:proofErr w:type="spellStart"/>
      <w:r w:rsidRPr="00327293">
        <w:rPr>
          <w:i/>
          <w:iCs/>
        </w:rPr>
        <w:t>doi</w:t>
      </w:r>
      <w:proofErr w:type="spellEnd"/>
      <w:r w:rsidRPr="00327293">
        <w:rPr>
          <w:i/>
          <w:iCs/>
        </w:rPr>
        <w:t xml:space="preserve">: 10.1002/tox.21947. </w:t>
      </w:r>
      <w:proofErr w:type="spellStart"/>
      <w:r w:rsidRPr="00327293">
        <w:rPr>
          <w:i/>
          <w:iCs/>
        </w:rPr>
        <w:t>Epub</w:t>
      </w:r>
      <w:proofErr w:type="spellEnd"/>
      <w:r w:rsidRPr="00327293">
        <w:rPr>
          <w:i/>
          <w:iCs/>
        </w:rPr>
        <w:t xml:space="preserve"> 2014 Jan 13. PMID: 24420721.</w:t>
      </w:r>
    </w:p>
    <w:p w14:paraId="45C3B0ED" w14:textId="77777777" w:rsidR="00E933B1" w:rsidRPr="00327293" w:rsidRDefault="00E933B1" w:rsidP="00E933B1">
      <w:pPr>
        <w:rPr>
          <w:i/>
          <w:iCs/>
        </w:rPr>
      </w:pPr>
    </w:p>
    <w:p w14:paraId="7F675E31" w14:textId="77777777" w:rsidR="00E933B1" w:rsidRPr="00327293" w:rsidRDefault="00E933B1" w:rsidP="00E933B1">
      <w:pPr>
        <w:rPr>
          <w:i/>
          <w:iCs/>
        </w:rPr>
      </w:pPr>
      <w:r w:rsidRPr="00327293">
        <w:rPr>
          <w:i/>
          <w:iCs/>
        </w:rPr>
        <w:t xml:space="preserve">4.  Goldner WS, Sandler DP, Yu F, </w:t>
      </w:r>
      <w:proofErr w:type="spellStart"/>
      <w:r w:rsidRPr="00327293">
        <w:rPr>
          <w:i/>
          <w:iCs/>
        </w:rPr>
        <w:t>Shostrom</w:t>
      </w:r>
      <w:proofErr w:type="spellEnd"/>
      <w:r w:rsidRPr="00327293">
        <w:rPr>
          <w:i/>
          <w:iCs/>
        </w:rPr>
        <w:t xml:space="preserve"> V, </w:t>
      </w:r>
      <w:proofErr w:type="spellStart"/>
      <w:r w:rsidRPr="00327293">
        <w:rPr>
          <w:i/>
          <w:iCs/>
        </w:rPr>
        <w:t>Hoppin</w:t>
      </w:r>
      <w:proofErr w:type="spellEnd"/>
      <w:r w:rsidRPr="00327293">
        <w:rPr>
          <w:i/>
          <w:iCs/>
        </w:rPr>
        <w:t xml:space="preserve"> JA, Kamel F, </w:t>
      </w:r>
      <w:proofErr w:type="spellStart"/>
      <w:r w:rsidRPr="00327293">
        <w:rPr>
          <w:i/>
          <w:iCs/>
        </w:rPr>
        <w:t>LeVan</w:t>
      </w:r>
      <w:proofErr w:type="spellEnd"/>
      <w:r w:rsidRPr="00327293">
        <w:rPr>
          <w:i/>
          <w:iCs/>
        </w:rPr>
        <w:t xml:space="preserve"> TD. Hypothyroidism and pesticide use among male private pesticide applicators in the agricultural health study. Journal of occupational and environmental medicine/American College of Occupational and Environmental Medicine. 2013 Oct;55(10):1171.</w:t>
      </w:r>
    </w:p>
    <w:p w14:paraId="3B9585CC" w14:textId="77777777" w:rsidR="00E933B1" w:rsidRPr="00327293" w:rsidRDefault="00E933B1" w:rsidP="00E933B1">
      <w:pPr>
        <w:rPr>
          <w:i/>
          <w:iCs/>
        </w:rPr>
      </w:pPr>
    </w:p>
    <w:p w14:paraId="723AB0A8" w14:textId="77777777" w:rsidR="00E933B1" w:rsidRDefault="00E933B1" w:rsidP="00E933B1">
      <w:pPr>
        <w:rPr>
          <w:i/>
          <w:iCs/>
        </w:rPr>
      </w:pPr>
      <w:r w:rsidRPr="00327293">
        <w:rPr>
          <w:i/>
          <w:iCs/>
        </w:rPr>
        <w:t xml:space="preserve">5.  Greenlee AR, Ellis TM, Berg RL. 2004. Low-dose agrochemicals and lawn-care pesticides induce developmental toxicity in murine preimplantation embryos. Environ Health </w:t>
      </w:r>
      <w:proofErr w:type="spellStart"/>
      <w:r w:rsidRPr="00327293">
        <w:rPr>
          <w:i/>
          <w:iCs/>
        </w:rPr>
        <w:t>Perspect</w:t>
      </w:r>
      <w:proofErr w:type="spellEnd"/>
      <w:r w:rsidRPr="00327293">
        <w:rPr>
          <w:i/>
          <w:iCs/>
        </w:rPr>
        <w:t xml:space="preserve"> 112(6):703-709.</w:t>
      </w:r>
    </w:p>
    <w:p w14:paraId="50981D28" w14:textId="77777777" w:rsidR="00E933B1" w:rsidRDefault="00E933B1" w:rsidP="00E933B1">
      <w:pPr>
        <w:rPr>
          <w:i/>
          <w:iCs/>
        </w:rPr>
      </w:pPr>
    </w:p>
    <w:p w14:paraId="76A378BF" w14:textId="77777777" w:rsidR="00E933B1" w:rsidRDefault="00E933B1" w:rsidP="00E933B1">
      <w:pPr>
        <w:rPr>
          <w:i/>
          <w:iCs/>
        </w:rPr>
      </w:pPr>
      <w:r>
        <w:rPr>
          <w:i/>
          <w:iCs/>
        </w:rPr>
        <w:t xml:space="preserve">6.  </w:t>
      </w:r>
      <w:proofErr w:type="spellStart"/>
      <w:r w:rsidRPr="00060E0C">
        <w:rPr>
          <w:i/>
          <w:iCs/>
        </w:rPr>
        <w:t>Lerro</w:t>
      </w:r>
      <w:proofErr w:type="spellEnd"/>
      <w:r w:rsidRPr="00060E0C">
        <w:rPr>
          <w:i/>
          <w:iCs/>
        </w:rPr>
        <w:t xml:space="preserve"> CC, Hofmann JN, Andreotti G, </w:t>
      </w:r>
      <w:proofErr w:type="spellStart"/>
      <w:r w:rsidRPr="00060E0C">
        <w:rPr>
          <w:i/>
          <w:iCs/>
        </w:rPr>
        <w:t>Koutros</w:t>
      </w:r>
      <w:proofErr w:type="spellEnd"/>
      <w:r w:rsidRPr="00060E0C">
        <w:rPr>
          <w:i/>
          <w:iCs/>
        </w:rPr>
        <w:t xml:space="preserve"> S, Parks CG, Blair A, Albert PS, </w:t>
      </w:r>
      <w:proofErr w:type="spellStart"/>
      <w:r w:rsidRPr="00060E0C">
        <w:rPr>
          <w:i/>
          <w:iCs/>
        </w:rPr>
        <w:t>Lubin</w:t>
      </w:r>
      <w:proofErr w:type="spellEnd"/>
      <w:r w:rsidRPr="00060E0C">
        <w:rPr>
          <w:i/>
          <w:iCs/>
        </w:rPr>
        <w:t xml:space="preserve"> JH, Sandler DP, Beane Freeman LE. Dicamba use and cancer incidence in the agricultural health study: an updated analysis. Int J Epidemiol. 2020 Aug 1;49(4):1326-1337. </w:t>
      </w:r>
      <w:proofErr w:type="spellStart"/>
      <w:r w:rsidRPr="00060E0C">
        <w:rPr>
          <w:i/>
          <w:iCs/>
        </w:rPr>
        <w:t>doi</w:t>
      </w:r>
      <w:proofErr w:type="spellEnd"/>
      <w:r w:rsidRPr="00060E0C">
        <w:rPr>
          <w:i/>
          <w:iCs/>
        </w:rPr>
        <w:t>: 10.1093/</w:t>
      </w:r>
      <w:proofErr w:type="spellStart"/>
      <w:r w:rsidRPr="00060E0C">
        <w:rPr>
          <w:i/>
          <w:iCs/>
        </w:rPr>
        <w:t>ije</w:t>
      </w:r>
      <w:proofErr w:type="spellEnd"/>
      <w:r w:rsidRPr="00060E0C">
        <w:rPr>
          <w:i/>
          <w:iCs/>
        </w:rPr>
        <w:t>/dyaa066. PMID: 32357211; PMCID: PMC7660157.</w:t>
      </w:r>
    </w:p>
    <w:p w14:paraId="785C22D5" w14:textId="77777777" w:rsidR="00E933B1" w:rsidRDefault="00E933B1" w:rsidP="00E933B1">
      <w:pPr>
        <w:rPr>
          <w:i/>
          <w:iCs/>
        </w:rPr>
      </w:pPr>
    </w:p>
    <w:p w14:paraId="01B13181" w14:textId="77777777" w:rsidR="00E933B1" w:rsidRDefault="00E933B1" w:rsidP="00E933B1">
      <w:pPr>
        <w:rPr>
          <w:i/>
          <w:iCs/>
        </w:rPr>
      </w:pPr>
      <w:r>
        <w:rPr>
          <w:i/>
          <w:iCs/>
        </w:rPr>
        <w:t xml:space="preserve">7.  </w:t>
      </w:r>
      <w:hyperlink r:id="rId26" w:history="1">
        <w:r w:rsidRPr="00F71885">
          <w:rPr>
            <w:rStyle w:val="Hyperlink"/>
            <w:i/>
            <w:iCs/>
          </w:rPr>
          <w:t>https://www.centerforfoodsafety.org/blog/5063/how-monsanto-is-devastating-thousands-of-farms-across-20-states</w:t>
        </w:r>
      </w:hyperlink>
    </w:p>
    <w:p w14:paraId="05C4D98A" w14:textId="77777777" w:rsidR="00E933B1" w:rsidRDefault="00E933B1" w:rsidP="00E933B1">
      <w:pPr>
        <w:rPr>
          <w:i/>
          <w:iCs/>
        </w:rPr>
      </w:pPr>
    </w:p>
    <w:p w14:paraId="6BDA3509" w14:textId="77777777" w:rsidR="00E933B1" w:rsidRDefault="00E933B1" w:rsidP="00E933B1">
      <w:pPr>
        <w:rPr>
          <w:i/>
          <w:iCs/>
        </w:rPr>
      </w:pPr>
      <w:r>
        <w:rPr>
          <w:i/>
          <w:iCs/>
        </w:rPr>
        <w:t xml:space="preserve">8.  </w:t>
      </w:r>
      <w:hyperlink r:id="rId27" w:history="1">
        <w:r w:rsidRPr="00F71885">
          <w:rPr>
            <w:rStyle w:val="Hyperlink"/>
            <w:i/>
            <w:iCs/>
          </w:rPr>
          <w:t>https://www.dtnpf.com/agriculture/web/ag/crops/article/2018/07/20/dicamba-moves-beyond-bean-fields-eye</w:t>
        </w:r>
      </w:hyperlink>
    </w:p>
    <w:p w14:paraId="2D318A0E" w14:textId="77777777" w:rsidR="00E933B1" w:rsidRDefault="00E933B1" w:rsidP="00E933B1">
      <w:pPr>
        <w:rPr>
          <w:i/>
          <w:iCs/>
        </w:rPr>
      </w:pPr>
    </w:p>
    <w:p w14:paraId="608A0616" w14:textId="77777777" w:rsidR="00E933B1" w:rsidRDefault="00E933B1" w:rsidP="00E933B1">
      <w:pPr>
        <w:rPr>
          <w:i/>
          <w:iCs/>
        </w:rPr>
      </w:pPr>
      <w:r>
        <w:rPr>
          <w:i/>
          <w:iCs/>
        </w:rPr>
        <w:t xml:space="preserve">9. </w:t>
      </w:r>
      <w:hyperlink r:id="rId28" w:history="1">
        <w:r w:rsidRPr="00F71885">
          <w:rPr>
            <w:rStyle w:val="Hyperlink"/>
            <w:i/>
            <w:iCs/>
          </w:rPr>
          <w:t>https://thecounter.org/dicamba-damaging-trees-across-midwest-and-south/</w:t>
        </w:r>
      </w:hyperlink>
    </w:p>
    <w:p w14:paraId="2A187361" w14:textId="77777777" w:rsidR="00E933B1" w:rsidRDefault="00E933B1" w:rsidP="00E933B1">
      <w:pPr>
        <w:rPr>
          <w:i/>
          <w:iCs/>
        </w:rPr>
      </w:pPr>
    </w:p>
    <w:p w14:paraId="070F0D9C" w14:textId="77777777" w:rsidR="00E933B1" w:rsidRDefault="00E933B1" w:rsidP="00E933B1">
      <w:pPr>
        <w:rPr>
          <w:i/>
          <w:iCs/>
        </w:rPr>
      </w:pPr>
      <w:r>
        <w:rPr>
          <w:i/>
          <w:iCs/>
        </w:rPr>
        <w:t xml:space="preserve">10. </w:t>
      </w:r>
      <w:hyperlink r:id="rId29" w:history="1">
        <w:r w:rsidRPr="00F71885">
          <w:rPr>
            <w:rStyle w:val="Hyperlink"/>
            <w:i/>
            <w:iCs/>
          </w:rPr>
          <w:t>https://www.xerces.org/publications/scientific-reports/drifting-toward-disaster</w:t>
        </w:r>
      </w:hyperlink>
    </w:p>
    <w:p w14:paraId="6789C414" w14:textId="77777777" w:rsidR="00E933B1" w:rsidRDefault="00E933B1" w:rsidP="00E933B1">
      <w:pPr>
        <w:rPr>
          <w:i/>
          <w:iCs/>
        </w:rPr>
      </w:pPr>
    </w:p>
    <w:p w14:paraId="2B342C20" w14:textId="77777777" w:rsidR="00E933B1" w:rsidRDefault="00E933B1" w:rsidP="00E933B1">
      <w:pPr>
        <w:rPr>
          <w:i/>
          <w:iCs/>
        </w:rPr>
      </w:pPr>
      <w:r>
        <w:rPr>
          <w:i/>
          <w:iCs/>
        </w:rPr>
        <w:t xml:space="preserve">11.  </w:t>
      </w:r>
      <w:hyperlink r:id="rId30" w:history="1">
        <w:r w:rsidRPr="00F71885">
          <w:rPr>
            <w:rStyle w:val="Hyperlink"/>
            <w:i/>
            <w:iCs/>
          </w:rPr>
          <w:t>https://www.regulations.gov/document/EPA-HQ-OPP-2016-0223-0028</w:t>
        </w:r>
      </w:hyperlink>
    </w:p>
    <w:p w14:paraId="0B8DA0F1" w14:textId="77777777" w:rsidR="00E933B1" w:rsidRDefault="00E933B1" w:rsidP="00E933B1">
      <w:pPr>
        <w:rPr>
          <w:i/>
          <w:iCs/>
        </w:rPr>
      </w:pPr>
    </w:p>
    <w:p w14:paraId="536404CF" w14:textId="77777777" w:rsidR="00E933B1" w:rsidRDefault="00E933B1" w:rsidP="00E933B1">
      <w:pPr>
        <w:rPr>
          <w:i/>
          <w:iCs/>
        </w:rPr>
      </w:pPr>
      <w:r>
        <w:rPr>
          <w:i/>
          <w:iCs/>
        </w:rPr>
        <w:t xml:space="preserve">12.  </w:t>
      </w:r>
      <w:hyperlink r:id="rId31" w:history="1">
        <w:r w:rsidRPr="00F71885">
          <w:rPr>
            <w:rStyle w:val="Hyperlink"/>
            <w:i/>
            <w:iCs/>
          </w:rPr>
          <w:t>https://cdn.ca9.uscourts.gov/datastore/opinions/2020/06/03/19-70115.pdf</w:t>
        </w:r>
      </w:hyperlink>
    </w:p>
    <w:p w14:paraId="3F194913" w14:textId="77777777" w:rsidR="00E933B1" w:rsidRDefault="00E933B1" w:rsidP="00E933B1">
      <w:pPr>
        <w:rPr>
          <w:i/>
          <w:iCs/>
        </w:rPr>
      </w:pPr>
    </w:p>
    <w:p w14:paraId="48152981" w14:textId="77777777" w:rsidR="00E933B1" w:rsidRDefault="00E933B1" w:rsidP="00E933B1">
      <w:pPr>
        <w:rPr>
          <w:i/>
          <w:iCs/>
        </w:rPr>
      </w:pPr>
      <w:r>
        <w:rPr>
          <w:i/>
          <w:iCs/>
        </w:rPr>
        <w:t xml:space="preserve">13.  </w:t>
      </w:r>
      <w:hyperlink r:id="rId32" w:history="1">
        <w:r w:rsidRPr="00F71885">
          <w:rPr>
            <w:rStyle w:val="Hyperlink"/>
            <w:i/>
            <w:iCs/>
          </w:rPr>
          <w:t>https://www.centerforfoodsafety.org/press-releases/6178/epa-reapproves-dangerous-drift-prone-dicamba-pesticides-recently-banned-by-federal-court-for-causing-widespread-economic-harm-to-farmers</w:t>
        </w:r>
      </w:hyperlink>
    </w:p>
    <w:p w14:paraId="6EE61E44" w14:textId="77777777" w:rsidR="00E933B1" w:rsidRDefault="00E933B1" w:rsidP="00E933B1">
      <w:pPr>
        <w:rPr>
          <w:i/>
          <w:iCs/>
        </w:rPr>
      </w:pPr>
    </w:p>
    <w:p w14:paraId="0D23FFD5" w14:textId="77777777" w:rsidR="00E933B1" w:rsidRDefault="00E933B1" w:rsidP="00E933B1">
      <w:pPr>
        <w:rPr>
          <w:i/>
          <w:iCs/>
        </w:rPr>
      </w:pPr>
      <w:r>
        <w:rPr>
          <w:i/>
          <w:iCs/>
        </w:rPr>
        <w:lastRenderedPageBreak/>
        <w:t xml:space="preserve">14.  </w:t>
      </w:r>
      <w:hyperlink r:id="rId33" w:history="1">
        <w:r w:rsidRPr="00F71885">
          <w:rPr>
            <w:rStyle w:val="Hyperlink"/>
            <w:i/>
            <w:iCs/>
          </w:rPr>
          <w:t>https://www.iarc.who.int/wp-content/uploads/2018/07/pr236_E.pdf</w:t>
        </w:r>
      </w:hyperlink>
    </w:p>
    <w:p w14:paraId="391A3BDC" w14:textId="77777777" w:rsidR="00E933B1" w:rsidRDefault="00E933B1" w:rsidP="00E933B1">
      <w:pPr>
        <w:rPr>
          <w:i/>
          <w:iCs/>
        </w:rPr>
      </w:pPr>
    </w:p>
    <w:p w14:paraId="3E774A94" w14:textId="77777777" w:rsidR="00E933B1" w:rsidRDefault="00E933B1" w:rsidP="00E933B1">
      <w:pPr>
        <w:rPr>
          <w:i/>
          <w:iCs/>
        </w:rPr>
      </w:pPr>
      <w:r>
        <w:rPr>
          <w:i/>
          <w:iCs/>
        </w:rPr>
        <w:t xml:space="preserve">15.  </w:t>
      </w:r>
      <w:r w:rsidRPr="005706CE">
        <w:rPr>
          <w:i/>
          <w:iCs/>
        </w:rPr>
        <w:t xml:space="preserve">Ju Z, Liu SS, Xu YQ, Li K. Combined Toxicity of 2,4-Dichlorophenoxyacetic Acid and Its Metabolites 2,4-Dichlorophenol (2,4-DCP) on Two Nontarget Organisms. ACS Omega. 2019 Jan 18;4(1):1669-1677. </w:t>
      </w:r>
      <w:proofErr w:type="spellStart"/>
      <w:r w:rsidRPr="005706CE">
        <w:rPr>
          <w:i/>
          <w:iCs/>
        </w:rPr>
        <w:t>doi</w:t>
      </w:r>
      <w:proofErr w:type="spellEnd"/>
      <w:r w:rsidRPr="005706CE">
        <w:rPr>
          <w:i/>
          <w:iCs/>
        </w:rPr>
        <w:t>: 10.1021/acsomega.8b02282. PMID: 31459423; PMCID: PMC6648169.</w:t>
      </w:r>
    </w:p>
    <w:p w14:paraId="0174D993" w14:textId="77777777" w:rsidR="00E933B1" w:rsidRDefault="00E933B1" w:rsidP="00E933B1">
      <w:pPr>
        <w:rPr>
          <w:i/>
          <w:iCs/>
        </w:rPr>
      </w:pPr>
    </w:p>
    <w:p w14:paraId="7ACB8CA7" w14:textId="77777777" w:rsidR="00E933B1" w:rsidRDefault="00E933B1" w:rsidP="00E933B1">
      <w:pPr>
        <w:rPr>
          <w:i/>
          <w:iCs/>
        </w:rPr>
      </w:pPr>
      <w:r>
        <w:rPr>
          <w:i/>
          <w:iCs/>
        </w:rPr>
        <w:t xml:space="preserve">16. </w:t>
      </w:r>
      <w:r w:rsidRPr="00735816">
        <w:rPr>
          <w:i/>
          <w:iCs/>
        </w:rPr>
        <w:t xml:space="preserve">Ruiz de </w:t>
      </w:r>
      <w:proofErr w:type="spellStart"/>
      <w:r w:rsidRPr="00735816">
        <w:rPr>
          <w:i/>
          <w:iCs/>
        </w:rPr>
        <w:t>Arcaute</w:t>
      </w:r>
      <w:proofErr w:type="spellEnd"/>
      <w:r w:rsidRPr="00735816">
        <w:rPr>
          <w:i/>
          <w:iCs/>
        </w:rPr>
        <w:t xml:space="preserve"> C, </w:t>
      </w:r>
      <w:proofErr w:type="spellStart"/>
      <w:r w:rsidRPr="00735816">
        <w:rPr>
          <w:i/>
          <w:iCs/>
        </w:rPr>
        <w:t>Larramendy</w:t>
      </w:r>
      <w:proofErr w:type="spellEnd"/>
      <w:r w:rsidRPr="00735816">
        <w:rPr>
          <w:i/>
          <w:iCs/>
        </w:rPr>
        <w:t xml:space="preserve"> ML, </w:t>
      </w:r>
      <w:proofErr w:type="spellStart"/>
      <w:r w:rsidRPr="00735816">
        <w:rPr>
          <w:i/>
          <w:iCs/>
        </w:rPr>
        <w:t>Soloneski</w:t>
      </w:r>
      <w:proofErr w:type="spellEnd"/>
      <w:r w:rsidRPr="00735816">
        <w:rPr>
          <w:i/>
          <w:iCs/>
        </w:rPr>
        <w:t xml:space="preserve"> S. Genotoxicity by long-term exposure to the </w:t>
      </w:r>
      <w:proofErr w:type="spellStart"/>
      <w:r w:rsidRPr="00735816">
        <w:rPr>
          <w:i/>
          <w:iCs/>
        </w:rPr>
        <w:t>auxinic</w:t>
      </w:r>
      <w:proofErr w:type="spellEnd"/>
      <w:r w:rsidRPr="00735816">
        <w:rPr>
          <w:i/>
          <w:iCs/>
        </w:rPr>
        <w:t xml:space="preserve"> herbicides 2,4-dichlorophenoxyacetic acid and dicamba on </w:t>
      </w:r>
      <w:proofErr w:type="spellStart"/>
      <w:r w:rsidRPr="00735816">
        <w:rPr>
          <w:i/>
          <w:iCs/>
        </w:rPr>
        <w:t>Cnesterodon</w:t>
      </w:r>
      <w:proofErr w:type="spellEnd"/>
      <w:r w:rsidRPr="00735816">
        <w:rPr>
          <w:i/>
          <w:iCs/>
        </w:rPr>
        <w:t xml:space="preserve"> </w:t>
      </w:r>
      <w:proofErr w:type="spellStart"/>
      <w:r w:rsidRPr="00735816">
        <w:rPr>
          <w:i/>
          <w:iCs/>
        </w:rPr>
        <w:t>decemmaculatus</w:t>
      </w:r>
      <w:proofErr w:type="spellEnd"/>
      <w:r w:rsidRPr="00735816">
        <w:rPr>
          <w:i/>
          <w:iCs/>
        </w:rPr>
        <w:t xml:space="preserve"> (Pisces: </w:t>
      </w:r>
      <w:proofErr w:type="spellStart"/>
      <w:r w:rsidRPr="00735816">
        <w:rPr>
          <w:i/>
          <w:iCs/>
        </w:rPr>
        <w:t>Poeciliidae</w:t>
      </w:r>
      <w:proofErr w:type="spellEnd"/>
      <w:r w:rsidRPr="00735816">
        <w:rPr>
          <w:i/>
          <w:iCs/>
        </w:rPr>
        <w:t xml:space="preserve">). Environ </w:t>
      </w:r>
      <w:proofErr w:type="spellStart"/>
      <w:r w:rsidRPr="00735816">
        <w:rPr>
          <w:i/>
          <w:iCs/>
        </w:rPr>
        <w:t>Pollut</w:t>
      </w:r>
      <w:proofErr w:type="spellEnd"/>
      <w:r w:rsidRPr="00735816">
        <w:rPr>
          <w:i/>
          <w:iCs/>
        </w:rPr>
        <w:t xml:space="preserve">. 2018 Dec;243(Pt A):670-678. </w:t>
      </w:r>
      <w:proofErr w:type="spellStart"/>
      <w:r w:rsidRPr="00735816">
        <w:rPr>
          <w:i/>
          <w:iCs/>
        </w:rPr>
        <w:t>doi</w:t>
      </w:r>
      <w:proofErr w:type="spellEnd"/>
      <w:r w:rsidRPr="00735816">
        <w:rPr>
          <w:i/>
          <w:iCs/>
        </w:rPr>
        <w:t xml:space="preserve">: 10.1016/j.envpol.2018.09.040. </w:t>
      </w:r>
      <w:proofErr w:type="spellStart"/>
      <w:r w:rsidRPr="00735816">
        <w:rPr>
          <w:i/>
          <w:iCs/>
        </w:rPr>
        <w:t>Epub</w:t>
      </w:r>
      <w:proofErr w:type="spellEnd"/>
      <w:r w:rsidRPr="00735816">
        <w:rPr>
          <w:i/>
          <w:iCs/>
        </w:rPr>
        <w:t xml:space="preserve"> 2018 Sep 8. PMID: 30228061.</w:t>
      </w:r>
    </w:p>
    <w:p w14:paraId="6DDFE1F8" w14:textId="77777777" w:rsidR="00E933B1" w:rsidRDefault="00E933B1" w:rsidP="00E933B1">
      <w:pPr>
        <w:rPr>
          <w:i/>
          <w:iCs/>
        </w:rPr>
      </w:pPr>
    </w:p>
    <w:p w14:paraId="40ECE3DA" w14:textId="77777777" w:rsidR="00E933B1" w:rsidRDefault="00E933B1" w:rsidP="00E933B1">
      <w:pPr>
        <w:rPr>
          <w:i/>
          <w:iCs/>
        </w:rPr>
      </w:pPr>
      <w:r>
        <w:rPr>
          <w:i/>
          <w:iCs/>
        </w:rPr>
        <w:t xml:space="preserve">17. </w:t>
      </w:r>
      <w:r w:rsidRPr="005B42BD">
        <w:rPr>
          <w:i/>
          <w:iCs/>
        </w:rPr>
        <w:t xml:space="preserve">Cavalier H, </w:t>
      </w:r>
      <w:proofErr w:type="spellStart"/>
      <w:r w:rsidRPr="005B42BD">
        <w:rPr>
          <w:i/>
          <w:iCs/>
        </w:rPr>
        <w:t>Trasande</w:t>
      </w:r>
      <w:proofErr w:type="spellEnd"/>
      <w:r w:rsidRPr="005B42BD">
        <w:rPr>
          <w:i/>
          <w:iCs/>
        </w:rPr>
        <w:t xml:space="preserve"> L, Porta M. Exposures to pesticides and risk of cancer: Evaluation of recent epidemiological evidence in humans and paths forward. Int J Cancer. 2023 Mar 1;152(5):879-912. </w:t>
      </w:r>
      <w:proofErr w:type="spellStart"/>
      <w:r w:rsidRPr="005B42BD">
        <w:rPr>
          <w:i/>
          <w:iCs/>
        </w:rPr>
        <w:t>doi</w:t>
      </w:r>
      <w:proofErr w:type="spellEnd"/>
      <w:r w:rsidRPr="005B42BD">
        <w:rPr>
          <w:i/>
          <w:iCs/>
        </w:rPr>
        <w:t xml:space="preserve">: 10.1002/ijc.34300. </w:t>
      </w:r>
      <w:proofErr w:type="spellStart"/>
      <w:r w:rsidRPr="005B42BD">
        <w:rPr>
          <w:i/>
          <w:iCs/>
        </w:rPr>
        <w:t>Epub</w:t>
      </w:r>
      <w:proofErr w:type="spellEnd"/>
      <w:r w:rsidRPr="005B42BD">
        <w:rPr>
          <w:i/>
          <w:iCs/>
        </w:rPr>
        <w:t xml:space="preserve"> 2022 Oct 25. PMID: 36134639; PMCID: PMC9880902.</w:t>
      </w:r>
    </w:p>
    <w:p w14:paraId="5AEDE64E" w14:textId="77777777" w:rsidR="00E933B1" w:rsidRDefault="00E933B1" w:rsidP="00E933B1">
      <w:pPr>
        <w:rPr>
          <w:i/>
          <w:iCs/>
        </w:rPr>
      </w:pPr>
    </w:p>
    <w:p w14:paraId="73A91C71" w14:textId="77777777" w:rsidR="00E933B1" w:rsidRPr="006B704A" w:rsidRDefault="00E933B1" w:rsidP="00E933B1">
      <w:pPr>
        <w:rPr>
          <w:i/>
          <w:iCs/>
        </w:rPr>
      </w:pPr>
      <w:r>
        <w:rPr>
          <w:i/>
          <w:iCs/>
        </w:rPr>
        <w:t xml:space="preserve">18. </w:t>
      </w:r>
      <w:proofErr w:type="spellStart"/>
      <w:r w:rsidRPr="006B704A">
        <w:rPr>
          <w:i/>
          <w:iCs/>
        </w:rPr>
        <w:t>Ou</w:t>
      </w:r>
      <w:proofErr w:type="spellEnd"/>
      <w:r w:rsidRPr="006B704A">
        <w:rPr>
          <w:i/>
          <w:iCs/>
        </w:rPr>
        <w:t xml:space="preserve"> JY, Kirchhoff AC, Hanson HA. Air Pollution across the Cancer Continuum: Extending Our Understanding of the Relationship between Environmental Exposures and Cancer. Cancer Epidemiol Biomarkers Prev. 2020 Oct;29(10):1876-1879. </w:t>
      </w:r>
      <w:proofErr w:type="spellStart"/>
      <w:r w:rsidRPr="006B704A">
        <w:rPr>
          <w:i/>
          <w:iCs/>
        </w:rPr>
        <w:t>doi</w:t>
      </w:r>
      <w:proofErr w:type="spellEnd"/>
      <w:r w:rsidRPr="006B704A">
        <w:rPr>
          <w:i/>
          <w:iCs/>
        </w:rPr>
        <w:t>: 10.1158/1055-9965.EPI-19-1588. PMID: 33004409</w:t>
      </w:r>
    </w:p>
    <w:p w14:paraId="39B520A6" w14:textId="77777777" w:rsidR="00E933B1" w:rsidRDefault="00E933B1" w:rsidP="00E933B1">
      <w:pPr>
        <w:rPr>
          <w:i/>
          <w:iCs/>
        </w:rPr>
      </w:pPr>
    </w:p>
    <w:p w14:paraId="74B2550C" w14:textId="77777777" w:rsidR="00E933B1" w:rsidRDefault="00E933B1" w:rsidP="00E933B1">
      <w:pPr>
        <w:rPr>
          <w:i/>
          <w:iCs/>
        </w:rPr>
      </w:pPr>
      <w:r>
        <w:rPr>
          <w:i/>
          <w:iCs/>
        </w:rPr>
        <w:t xml:space="preserve">19. </w:t>
      </w:r>
      <w:r w:rsidRPr="006B704A">
        <w:rPr>
          <w:i/>
          <w:iCs/>
        </w:rPr>
        <w:t xml:space="preserve">Wu S, Powers S, Zhu W, </w:t>
      </w:r>
      <w:proofErr w:type="spellStart"/>
      <w:r w:rsidRPr="006B704A">
        <w:rPr>
          <w:i/>
          <w:iCs/>
        </w:rPr>
        <w:t>Hannun</w:t>
      </w:r>
      <w:proofErr w:type="spellEnd"/>
      <w:r w:rsidRPr="006B704A">
        <w:rPr>
          <w:i/>
          <w:iCs/>
        </w:rPr>
        <w:t xml:space="preserve"> YA. Substantial contribution of extrinsic risk factors to cancer development. Nature 2016;529:43–7.</w:t>
      </w:r>
    </w:p>
    <w:p w14:paraId="787597E8" w14:textId="77777777" w:rsidR="00E933B1" w:rsidRDefault="00E933B1" w:rsidP="00E933B1">
      <w:pPr>
        <w:rPr>
          <w:i/>
          <w:iCs/>
        </w:rPr>
      </w:pPr>
    </w:p>
    <w:p w14:paraId="52518482" w14:textId="77777777" w:rsidR="00E933B1" w:rsidRDefault="00E933B1" w:rsidP="00E933B1">
      <w:pPr>
        <w:rPr>
          <w:i/>
          <w:iCs/>
        </w:rPr>
      </w:pPr>
      <w:r>
        <w:rPr>
          <w:i/>
          <w:iCs/>
        </w:rPr>
        <w:t xml:space="preserve">20.  </w:t>
      </w:r>
      <w:r w:rsidRPr="00D84E84">
        <w:rPr>
          <w:i/>
          <w:iCs/>
        </w:rPr>
        <w:t>Siegel</w:t>
      </w:r>
      <w:r>
        <w:rPr>
          <w:i/>
          <w:iCs/>
        </w:rPr>
        <w:t xml:space="preserve"> R, et al. </w:t>
      </w:r>
      <w:r w:rsidRPr="00D84E84">
        <w:rPr>
          <w:i/>
          <w:iCs/>
        </w:rPr>
        <w:t xml:space="preserve">Colorectal Cancer Incidence Patterns in the United States, 1974–2013, JNCI: Journal of the National Cancer Institute, Volume 109, Issue 8, August 2017, djw322, </w:t>
      </w:r>
      <w:hyperlink r:id="rId34" w:history="1">
        <w:r w:rsidRPr="00F71885">
          <w:rPr>
            <w:rStyle w:val="Hyperlink"/>
            <w:i/>
            <w:iCs/>
          </w:rPr>
          <w:t>https://doi.org/10.1093/jnci/djw322</w:t>
        </w:r>
      </w:hyperlink>
    </w:p>
    <w:p w14:paraId="1C55585A" w14:textId="77777777" w:rsidR="00E933B1" w:rsidRDefault="00E933B1" w:rsidP="00E933B1">
      <w:pPr>
        <w:rPr>
          <w:i/>
          <w:iCs/>
        </w:rPr>
      </w:pPr>
    </w:p>
    <w:p w14:paraId="112B4878" w14:textId="77777777" w:rsidR="00E933B1" w:rsidRDefault="00E933B1" w:rsidP="00E933B1">
      <w:pPr>
        <w:rPr>
          <w:i/>
          <w:iCs/>
        </w:rPr>
      </w:pPr>
      <w:r>
        <w:rPr>
          <w:i/>
          <w:iCs/>
        </w:rPr>
        <w:t xml:space="preserve">21. </w:t>
      </w:r>
      <w:proofErr w:type="spellStart"/>
      <w:r w:rsidRPr="00233565">
        <w:rPr>
          <w:i/>
          <w:iCs/>
        </w:rPr>
        <w:t>Uyemura</w:t>
      </w:r>
      <w:proofErr w:type="spellEnd"/>
      <w:r w:rsidRPr="00233565">
        <w:rPr>
          <w:i/>
          <w:iCs/>
        </w:rPr>
        <w:t xml:space="preserve"> SA, Stopper H, Martin FL, </w:t>
      </w:r>
      <w:proofErr w:type="spellStart"/>
      <w:r w:rsidRPr="00233565">
        <w:rPr>
          <w:i/>
          <w:iCs/>
        </w:rPr>
        <w:t>Kannen</w:t>
      </w:r>
      <w:proofErr w:type="spellEnd"/>
      <w:r w:rsidRPr="00233565">
        <w:rPr>
          <w:i/>
          <w:iCs/>
        </w:rPr>
        <w:t xml:space="preserve"> V. A Perspective Discussion on Rising Pesticide Levels and Colon Cancer Burden in Brazil. Front Public Health. 2017 Oct 16;5:273. </w:t>
      </w:r>
      <w:proofErr w:type="spellStart"/>
      <w:r w:rsidRPr="00233565">
        <w:rPr>
          <w:i/>
          <w:iCs/>
        </w:rPr>
        <w:t>doi</w:t>
      </w:r>
      <w:proofErr w:type="spellEnd"/>
      <w:r w:rsidRPr="00233565">
        <w:rPr>
          <w:i/>
          <w:iCs/>
        </w:rPr>
        <w:t>: 10.3389/fpubh.2017.00273. PMID: 29085820; PMCID: PMC5650604.</w:t>
      </w:r>
    </w:p>
    <w:p w14:paraId="4487D9EB" w14:textId="77777777" w:rsidR="00E933B1" w:rsidRDefault="00E933B1" w:rsidP="00E933B1">
      <w:pPr>
        <w:rPr>
          <w:i/>
          <w:iCs/>
        </w:rPr>
      </w:pPr>
    </w:p>
    <w:p w14:paraId="2ABFDA4C" w14:textId="77777777" w:rsidR="00E933B1" w:rsidRPr="00233565" w:rsidRDefault="00E933B1" w:rsidP="00E933B1">
      <w:pPr>
        <w:rPr>
          <w:i/>
          <w:iCs/>
        </w:rPr>
      </w:pPr>
      <w:r>
        <w:rPr>
          <w:i/>
          <w:iCs/>
        </w:rPr>
        <w:t xml:space="preserve">22.  </w:t>
      </w:r>
      <w:r w:rsidRPr="00233565">
        <w:rPr>
          <w:i/>
          <w:iCs/>
        </w:rPr>
        <w:t>Martin</w:t>
      </w:r>
      <w:r>
        <w:rPr>
          <w:i/>
          <w:iCs/>
        </w:rPr>
        <w:t xml:space="preserve"> F, et al. </w:t>
      </w:r>
      <w:r w:rsidRPr="00233565">
        <w:rPr>
          <w:i/>
          <w:iCs/>
        </w:rPr>
        <w:t>Increased exposure to pesticides and colon cancer: Early evidence in Brazil,</w:t>
      </w:r>
    </w:p>
    <w:p w14:paraId="1D266BDB" w14:textId="77777777" w:rsidR="00E933B1" w:rsidRDefault="00E933B1" w:rsidP="00E933B1">
      <w:pPr>
        <w:rPr>
          <w:i/>
          <w:iCs/>
        </w:rPr>
      </w:pPr>
      <w:r w:rsidRPr="00233565">
        <w:rPr>
          <w:i/>
          <w:iCs/>
        </w:rPr>
        <w:t>Chemosphere,</w:t>
      </w:r>
      <w:r>
        <w:rPr>
          <w:i/>
          <w:iCs/>
        </w:rPr>
        <w:t xml:space="preserve"> </w:t>
      </w:r>
      <w:r w:rsidRPr="00233565">
        <w:rPr>
          <w:i/>
          <w:iCs/>
        </w:rPr>
        <w:t>Volume 209,</w:t>
      </w:r>
      <w:r>
        <w:rPr>
          <w:i/>
          <w:iCs/>
        </w:rPr>
        <w:t xml:space="preserve"> </w:t>
      </w:r>
      <w:r w:rsidRPr="00233565">
        <w:rPr>
          <w:i/>
          <w:iCs/>
        </w:rPr>
        <w:t>2018,</w:t>
      </w:r>
      <w:r>
        <w:rPr>
          <w:i/>
          <w:iCs/>
        </w:rPr>
        <w:t xml:space="preserve"> </w:t>
      </w:r>
      <w:r w:rsidRPr="00233565">
        <w:rPr>
          <w:i/>
          <w:iCs/>
        </w:rPr>
        <w:t>Pages 623-631,</w:t>
      </w:r>
      <w:r>
        <w:rPr>
          <w:i/>
          <w:iCs/>
        </w:rPr>
        <w:t xml:space="preserve"> </w:t>
      </w:r>
      <w:r w:rsidRPr="00233565">
        <w:rPr>
          <w:i/>
          <w:iCs/>
        </w:rPr>
        <w:t>ISSN 0045-6535</w:t>
      </w:r>
      <w:r>
        <w:rPr>
          <w:i/>
          <w:iCs/>
        </w:rPr>
        <w:t>.</w:t>
      </w:r>
    </w:p>
    <w:p w14:paraId="660466A8" w14:textId="77777777" w:rsidR="00E933B1" w:rsidRDefault="00E933B1" w:rsidP="00E933B1">
      <w:pPr>
        <w:rPr>
          <w:i/>
          <w:iCs/>
        </w:rPr>
      </w:pPr>
    </w:p>
    <w:p w14:paraId="51E31A6A" w14:textId="77777777" w:rsidR="00E933B1" w:rsidRDefault="00E933B1" w:rsidP="00E933B1">
      <w:pPr>
        <w:rPr>
          <w:i/>
          <w:iCs/>
        </w:rPr>
      </w:pPr>
      <w:r>
        <w:rPr>
          <w:i/>
          <w:iCs/>
        </w:rPr>
        <w:t xml:space="preserve">23.  </w:t>
      </w:r>
      <w:hyperlink r:id="rId35" w:history="1">
        <w:r w:rsidRPr="00F71885">
          <w:rPr>
            <w:rStyle w:val="Hyperlink"/>
            <w:i/>
            <w:iCs/>
          </w:rPr>
          <w:t>https://ec.europa.eu/commission/presscorner/detail/en/qanda_22_3694</w:t>
        </w:r>
      </w:hyperlink>
    </w:p>
    <w:p w14:paraId="1079371E" w14:textId="77777777" w:rsidR="00E933B1" w:rsidRDefault="00E933B1" w:rsidP="00E933B1">
      <w:pPr>
        <w:rPr>
          <w:i/>
          <w:iCs/>
        </w:rPr>
      </w:pPr>
    </w:p>
    <w:p w14:paraId="15442EE0" w14:textId="77777777" w:rsidR="00E933B1" w:rsidRDefault="00E933B1" w:rsidP="00E933B1">
      <w:pPr>
        <w:rPr>
          <w:i/>
          <w:iCs/>
        </w:rPr>
      </w:pPr>
      <w:r>
        <w:rPr>
          <w:i/>
          <w:iCs/>
        </w:rPr>
        <w:t xml:space="preserve">24.  </w:t>
      </w:r>
      <w:hyperlink r:id="rId36" w:history="1">
        <w:r w:rsidRPr="00F71885">
          <w:rPr>
            <w:rStyle w:val="Hyperlink"/>
            <w:i/>
            <w:iCs/>
          </w:rPr>
          <w:t>https://www.washingtonpost.com/national/health-science/what-to-know-before-you-spray-your-lawn-with-pesticides/2014/07/07/77d719a2-f63c-11e3-a606-946fd632f9f1_story.html</w:t>
        </w:r>
      </w:hyperlink>
    </w:p>
    <w:p w14:paraId="73C70AF5" w14:textId="77777777" w:rsidR="00E933B1" w:rsidRDefault="00E933B1" w:rsidP="00E933B1">
      <w:pPr>
        <w:rPr>
          <w:i/>
          <w:iCs/>
        </w:rPr>
      </w:pPr>
    </w:p>
    <w:p w14:paraId="35FC5310" w14:textId="77777777" w:rsidR="00E933B1" w:rsidRPr="008D38CF" w:rsidRDefault="00E933B1" w:rsidP="00E933B1">
      <w:pPr>
        <w:rPr>
          <w:i/>
          <w:iCs/>
        </w:rPr>
      </w:pPr>
      <w:r>
        <w:rPr>
          <w:i/>
          <w:iCs/>
        </w:rPr>
        <w:t xml:space="preserve">25.  </w:t>
      </w:r>
      <w:r w:rsidRPr="008D38CF">
        <w:rPr>
          <w:i/>
          <w:iCs/>
        </w:rPr>
        <w:t>Silva V, et al. Environmental and human health at risk – Scenarios to achieve the Farm to Fork 50% pesticide reduction goals. Environment International, Volume 165, 2022, 107296,</w:t>
      </w:r>
    </w:p>
    <w:p w14:paraId="2C0B629B" w14:textId="77777777" w:rsidR="00E933B1" w:rsidRDefault="00E933B1" w:rsidP="00E933B1">
      <w:pPr>
        <w:rPr>
          <w:i/>
          <w:iCs/>
        </w:rPr>
      </w:pPr>
      <w:r w:rsidRPr="008D38CF">
        <w:rPr>
          <w:i/>
          <w:iCs/>
        </w:rPr>
        <w:t>ISSN 0160-4120</w:t>
      </w:r>
    </w:p>
    <w:p w14:paraId="4BD2AD53" w14:textId="77777777" w:rsidR="00E933B1" w:rsidRDefault="00E933B1" w:rsidP="00E933B1">
      <w:pPr>
        <w:rPr>
          <w:i/>
          <w:iCs/>
        </w:rPr>
      </w:pPr>
      <w:r>
        <w:rPr>
          <w:i/>
          <w:iCs/>
        </w:rPr>
        <w:lastRenderedPageBreak/>
        <w:t xml:space="preserve">26.  </w:t>
      </w:r>
      <w:hyperlink r:id="rId37" w:history="1">
        <w:r w:rsidRPr="00F71885">
          <w:rPr>
            <w:rStyle w:val="Hyperlink"/>
            <w:i/>
            <w:iCs/>
          </w:rPr>
          <w:t>https://www.chicagotribune.com/investigations/ct-gmo-crops-pesticide-resistance-met-20151203-story.html</w:t>
        </w:r>
      </w:hyperlink>
    </w:p>
    <w:p w14:paraId="6C501AE6" w14:textId="77777777" w:rsidR="00E933B1" w:rsidRDefault="00E933B1" w:rsidP="00E933B1">
      <w:pPr>
        <w:rPr>
          <w:i/>
          <w:iCs/>
        </w:rPr>
      </w:pPr>
    </w:p>
    <w:p w14:paraId="5824C9E9" w14:textId="77777777" w:rsidR="00E933B1" w:rsidRDefault="00E933B1" w:rsidP="00E933B1">
      <w:pPr>
        <w:rPr>
          <w:i/>
          <w:iCs/>
        </w:rPr>
      </w:pPr>
      <w:r>
        <w:rPr>
          <w:i/>
          <w:iCs/>
        </w:rPr>
        <w:t xml:space="preserve">27.  </w:t>
      </w:r>
      <w:r w:rsidRPr="000F517B">
        <w:rPr>
          <w:i/>
          <w:iCs/>
        </w:rPr>
        <w:t>RC Valencia, A Hagan</w:t>
      </w:r>
      <w:r>
        <w:rPr>
          <w:i/>
          <w:iCs/>
        </w:rPr>
        <w:t xml:space="preserve">. </w:t>
      </w:r>
      <w:r w:rsidRPr="000F517B">
        <w:rPr>
          <w:i/>
          <w:iCs/>
        </w:rPr>
        <w:t>The Chemical Industry Under the 4th Industrial Revolution: The Sustainable, Digital &amp; Citizens One 2022 - Wiley-VCH</w:t>
      </w:r>
    </w:p>
    <w:p w14:paraId="1662E044" w14:textId="77777777" w:rsidR="00E933B1" w:rsidRDefault="00E933B1" w:rsidP="00E933B1">
      <w:pPr>
        <w:rPr>
          <w:i/>
          <w:iCs/>
        </w:rPr>
      </w:pPr>
    </w:p>
    <w:p w14:paraId="6A424467" w14:textId="77777777" w:rsidR="00E933B1" w:rsidRPr="005706CE" w:rsidRDefault="00E933B1" w:rsidP="00E933B1">
      <w:pPr>
        <w:rPr>
          <w:i/>
          <w:iCs/>
        </w:rPr>
      </w:pPr>
      <w:r>
        <w:rPr>
          <w:i/>
          <w:iCs/>
        </w:rPr>
        <w:t xml:space="preserve">28. </w:t>
      </w:r>
      <w:r w:rsidRPr="00F739FA">
        <w:rPr>
          <w:i/>
          <w:iCs/>
        </w:rPr>
        <w:t xml:space="preserve"> https://theintercept.com/2022/03/30/epa-new-chemicals-division-workplace/</w:t>
      </w:r>
    </w:p>
    <w:p w14:paraId="0B470A00" w14:textId="77777777" w:rsidR="00E933B1" w:rsidRDefault="00E933B1" w:rsidP="00E933B1">
      <w:pPr>
        <w:rPr>
          <w:i/>
          <w:iCs/>
        </w:rPr>
      </w:pPr>
    </w:p>
    <w:p w14:paraId="3F5748AA" w14:textId="77777777" w:rsidR="00E933B1" w:rsidRDefault="00E933B1" w:rsidP="00E933B1">
      <w:pPr>
        <w:rPr>
          <w:i/>
          <w:iCs/>
        </w:rPr>
      </w:pPr>
      <w:r>
        <w:rPr>
          <w:i/>
          <w:iCs/>
        </w:rPr>
        <w:t xml:space="preserve">29. </w:t>
      </w:r>
      <w:hyperlink r:id="rId38" w:history="1">
        <w:r w:rsidRPr="00F71885">
          <w:rPr>
            <w:rStyle w:val="Hyperlink"/>
            <w:i/>
            <w:iCs/>
          </w:rPr>
          <w:t>https://theintercept.com/2019/08/23/monsanto-republicans-cancer-research/</w:t>
        </w:r>
      </w:hyperlink>
    </w:p>
    <w:p w14:paraId="128B711C" w14:textId="77777777" w:rsidR="00E933B1" w:rsidRDefault="00E933B1" w:rsidP="00E933B1">
      <w:pPr>
        <w:rPr>
          <w:i/>
          <w:iCs/>
        </w:rPr>
      </w:pPr>
    </w:p>
    <w:p w14:paraId="0A7F005D" w14:textId="77777777" w:rsidR="00E933B1" w:rsidRDefault="00E933B1" w:rsidP="00E933B1">
      <w:pPr>
        <w:rPr>
          <w:i/>
          <w:iCs/>
        </w:rPr>
      </w:pPr>
      <w:r>
        <w:rPr>
          <w:i/>
          <w:iCs/>
        </w:rPr>
        <w:t xml:space="preserve">30. </w:t>
      </w:r>
      <w:r w:rsidRPr="00F739FA">
        <w:rPr>
          <w:i/>
          <w:iCs/>
        </w:rPr>
        <w:t xml:space="preserve">McHenry LB. The Monsanto Papers: Poisoning the scientific well. Int J Risk </w:t>
      </w:r>
      <w:proofErr w:type="spellStart"/>
      <w:r w:rsidRPr="00F739FA">
        <w:rPr>
          <w:i/>
          <w:iCs/>
        </w:rPr>
        <w:t>Saf</w:t>
      </w:r>
      <w:proofErr w:type="spellEnd"/>
      <w:r w:rsidRPr="00F739FA">
        <w:rPr>
          <w:i/>
          <w:iCs/>
        </w:rPr>
        <w:t xml:space="preserve"> Med. 2018;29(3-4):193-205. </w:t>
      </w:r>
      <w:proofErr w:type="spellStart"/>
      <w:r w:rsidRPr="00F739FA">
        <w:rPr>
          <w:i/>
          <w:iCs/>
        </w:rPr>
        <w:t>doi</w:t>
      </w:r>
      <w:proofErr w:type="spellEnd"/>
      <w:r w:rsidRPr="00F739FA">
        <w:rPr>
          <w:i/>
          <w:iCs/>
        </w:rPr>
        <w:t>: 10.3233/JRS-180028. PMID: 29843257.</w:t>
      </w:r>
    </w:p>
    <w:p w14:paraId="453DA44F" w14:textId="77777777" w:rsidR="00E933B1" w:rsidRDefault="00E933B1" w:rsidP="00E933B1">
      <w:pPr>
        <w:rPr>
          <w:i/>
          <w:iCs/>
        </w:rPr>
      </w:pPr>
    </w:p>
    <w:p w14:paraId="68D55133" w14:textId="77777777" w:rsidR="00E933B1" w:rsidRPr="00F739FA" w:rsidRDefault="00E933B1" w:rsidP="00E933B1">
      <w:pPr>
        <w:rPr>
          <w:i/>
          <w:iCs/>
        </w:rPr>
      </w:pPr>
      <w:r>
        <w:rPr>
          <w:i/>
          <w:iCs/>
        </w:rPr>
        <w:t xml:space="preserve">31. </w:t>
      </w:r>
      <w:r w:rsidRPr="00F739FA">
        <w:rPr>
          <w:i/>
          <w:iCs/>
        </w:rPr>
        <w:t>. Schneider, Keith (Winter 1983). "IBT – Guilty". Amicus Journal. Archived from the original on 2012-07-19. Retrieved 2012-07-19.</w:t>
      </w:r>
    </w:p>
    <w:p w14:paraId="5A98FDF3" w14:textId="77777777" w:rsidR="00E933B1" w:rsidRPr="00F739FA" w:rsidRDefault="00E933B1" w:rsidP="00E933B1">
      <w:pPr>
        <w:rPr>
          <w:i/>
          <w:iCs/>
        </w:rPr>
      </w:pPr>
    </w:p>
    <w:p w14:paraId="3A5326C0" w14:textId="77777777" w:rsidR="00E933B1" w:rsidRDefault="00E933B1" w:rsidP="00E933B1">
      <w:pPr>
        <w:rPr>
          <w:i/>
          <w:iCs/>
        </w:rPr>
      </w:pPr>
      <w:r>
        <w:rPr>
          <w:i/>
          <w:iCs/>
        </w:rPr>
        <w:t>32</w:t>
      </w:r>
      <w:r w:rsidRPr="00F739FA">
        <w:rPr>
          <w:i/>
          <w:iCs/>
        </w:rPr>
        <w:t>. Foster, Doug (1983-12-07). "Industrial Bio-Test Lab's Dirty Research". Oakland Tribune. Center for Investigative Reporting. Archived from the original on 2013-04-14. Retrieved 2012-07-11.</w:t>
      </w:r>
    </w:p>
    <w:p w14:paraId="23025491" w14:textId="77777777" w:rsidR="00E933B1" w:rsidRDefault="00E933B1" w:rsidP="00E933B1">
      <w:pPr>
        <w:rPr>
          <w:i/>
          <w:iCs/>
        </w:rPr>
      </w:pPr>
    </w:p>
    <w:p w14:paraId="2B72F6B9" w14:textId="77777777" w:rsidR="00E933B1" w:rsidRDefault="00E933B1" w:rsidP="00E933B1">
      <w:pPr>
        <w:rPr>
          <w:i/>
          <w:iCs/>
        </w:rPr>
      </w:pPr>
      <w:r>
        <w:rPr>
          <w:i/>
          <w:iCs/>
        </w:rPr>
        <w:t xml:space="preserve">33. </w:t>
      </w:r>
      <w:proofErr w:type="spellStart"/>
      <w:r w:rsidRPr="00F739FA">
        <w:rPr>
          <w:i/>
          <w:iCs/>
        </w:rPr>
        <w:t>Shabecoff</w:t>
      </w:r>
      <w:proofErr w:type="spellEnd"/>
      <w:r w:rsidRPr="00F739FA">
        <w:rPr>
          <w:i/>
          <w:iCs/>
        </w:rPr>
        <w:t>, Philip (1983-07-12). "E.P.A. Threatens to Suspend Approval of Pesticides over Test Flaws". The New York Times. Retrieved 2012-07-16.</w:t>
      </w:r>
    </w:p>
    <w:p w14:paraId="746FEBF3" w14:textId="77777777" w:rsidR="00E933B1" w:rsidRDefault="00E933B1" w:rsidP="00E933B1">
      <w:pPr>
        <w:rPr>
          <w:i/>
          <w:iCs/>
        </w:rPr>
      </w:pPr>
    </w:p>
    <w:p w14:paraId="04BBB3D4" w14:textId="77777777" w:rsidR="00E933B1" w:rsidRDefault="00E933B1" w:rsidP="00E933B1">
      <w:pPr>
        <w:pStyle w:val="NoSpacing"/>
        <w:rPr>
          <w:i/>
          <w:iCs/>
        </w:rPr>
      </w:pPr>
      <w:r w:rsidRPr="00F739FA">
        <w:rPr>
          <w:i/>
          <w:iCs/>
        </w:rPr>
        <w:t xml:space="preserve">34. </w:t>
      </w:r>
      <w:hyperlink r:id="rId39" w:history="1">
        <w:r w:rsidRPr="00F71885">
          <w:rPr>
            <w:rStyle w:val="Hyperlink"/>
            <w:i/>
            <w:iCs/>
          </w:rPr>
          <w:t>http://precaution.org/lib/ruckelshaus_risk_in_a_free_society_(risk_assessment).1984.pdf</w:t>
        </w:r>
      </w:hyperlink>
    </w:p>
    <w:p w14:paraId="2FEE8AE2" w14:textId="77777777" w:rsidR="00E933B1" w:rsidRDefault="00E933B1" w:rsidP="00E933B1">
      <w:pPr>
        <w:pStyle w:val="NoSpacing"/>
        <w:rPr>
          <w:i/>
          <w:iCs/>
        </w:rPr>
      </w:pPr>
    </w:p>
    <w:p w14:paraId="6D52C2C9" w14:textId="77777777" w:rsidR="00E933B1" w:rsidRDefault="00E933B1" w:rsidP="00E933B1">
      <w:pPr>
        <w:pStyle w:val="NoSpacing"/>
        <w:rPr>
          <w:i/>
          <w:iCs/>
        </w:rPr>
      </w:pPr>
      <w:r>
        <w:rPr>
          <w:i/>
          <w:iCs/>
        </w:rPr>
        <w:t xml:space="preserve">35. </w:t>
      </w:r>
      <w:hyperlink r:id="rId40" w:history="1">
        <w:r w:rsidRPr="00F71885">
          <w:rPr>
            <w:rStyle w:val="Hyperlink"/>
            <w:i/>
            <w:iCs/>
          </w:rPr>
          <w:t>https://www.nap.edu/read/1802/chapter/1</w:t>
        </w:r>
      </w:hyperlink>
    </w:p>
    <w:p w14:paraId="1B078C30" w14:textId="77777777" w:rsidR="00E933B1" w:rsidRDefault="00E933B1" w:rsidP="00E933B1">
      <w:pPr>
        <w:pStyle w:val="NoSpacing"/>
        <w:rPr>
          <w:i/>
          <w:iCs/>
        </w:rPr>
      </w:pPr>
    </w:p>
    <w:p w14:paraId="0B99C7F6" w14:textId="77777777" w:rsidR="00E933B1" w:rsidRDefault="00E933B1" w:rsidP="00E933B1">
      <w:pPr>
        <w:pStyle w:val="NoSpacing"/>
        <w:rPr>
          <w:i/>
          <w:iCs/>
        </w:rPr>
      </w:pPr>
      <w:r>
        <w:rPr>
          <w:i/>
          <w:iCs/>
        </w:rPr>
        <w:t xml:space="preserve">36. </w:t>
      </w:r>
      <w:r w:rsidRPr="00211025">
        <w:rPr>
          <w:i/>
          <w:iCs/>
        </w:rPr>
        <w:t>Naidu R, et al. Chemical pollution: A growing peril and potential catastrophic risk to humanity, Environment International, Volume 156, 2021, 106616, ISSN 0160-4120,</w:t>
      </w:r>
    </w:p>
    <w:p w14:paraId="2598D686" w14:textId="77777777" w:rsidR="00E933B1" w:rsidRDefault="00E933B1" w:rsidP="00E933B1">
      <w:pPr>
        <w:pStyle w:val="NoSpacing"/>
        <w:rPr>
          <w:i/>
          <w:iCs/>
        </w:rPr>
      </w:pPr>
    </w:p>
    <w:p w14:paraId="736AA852" w14:textId="77777777" w:rsidR="00E933B1" w:rsidRDefault="00E933B1" w:rsidP="00E933B1">
      <w:pPr>
        <w:pStyle w:val="NoSpacing"/>
        <w:rPr>
          <w:i/>
          <w:iCs/>
        </w:rPr>
      </w:pPr>
      <w:r>
        <w:rPr>
          <w:i/>
          <w:iCs/>
        </w:rPr>
        <w:t xml:space="preserve">37. </w:t>
      </w:r>
      <w:r w:rsidRPr="00211025">
        <w:rPr>
          <w:i/>
          <w:iCs/>
        </w:rPr>
        <w:t>Curtis L, et al. Potentiation of the hepatotoxicity of carbon tetrachloride following preexposure to chlordecone (Kepone) in the male rat, Toxicology and Applied Pharmacology, Volume 51, Issue 2, 1979, Pages 283-293</w:t>
      </w:r>
    </w:p>
    <w:p w14:paraId="5DC8433B" w14:textId="77777777" w:rsidR="00E933B1" w:rsidRDefault="00E933B1" w:rsidP="00E933B1">
      <w:pPr>
        <w:pStyle w:val="NoSpacing"/>
        <w:rPr>
          <w:i/>
          <w:iCs/>
        </w:rPr>
      </w:pPr>
    </w:p>
    <w:p w14:paraId="66C80892" w14:textId="77777777" w:rsidR="00E933B1" w:rsidRPr="00211025" w:rsidRDefault="00E933B1" w:rsidP="00E933B1">
      <w:pPr>
        <w:pStyle w:val="NoSpacing"/>
        <w:rPr>
          <w:i/>
          <w:iCs/>
        </w:rPr>
      </w:pPr>
      <w:r>
        <w:rPr>
          <w:i/>
          <w:iCs/>
        </w:rPr>
        <w:t>38.</w:t>
      </w:r>
      <w:r w:rsidRPr="00211025">
        <w:rPr>
          <w:i/>
          <w:iCs/>
        </w:rPr>
        <w:t xml:space="preserve"> https://theintercept.com/2021/06/30/epa-pesticides-exposure-opp/</w:t>
      </w:r>
    </w:p>
    <w:p w14:paraId="22FDB696" w14:textId="77777777" w:rsidR="00E933B1" w:rsidRDefault="00E933B1" w:rsidP="00E933B1">
      <w:pPr>
        <w:pStyle w:val="NoSpacing"/>
        <w:rPr>
          <w:i/>
          <w:iCs/>
        </w:rPr>
      </w:pPr>
    </w:p>
    <w:p w14:paraId="7A526165" w14:textId="77777777" w:rsidR="00E933B1" w:rsidRDefault="00E933B1" w:rsidP="00E933B1">
      <w:pPr>
        <w:pStyle w:val="NoSpacing"/>
        <w:rPr>
          <w:i/>
          <w:iCs/>
        </w:rPr>
      </w:pPr>
      <w:r w:rsidRPr="00211025">
        <w:rPr>
          <w:i/>
          <w:iCs/>
        </w:rPr>
        <w:t>3</w:t>
      </w:r>
      <w:r>
        <w:rPr>
          <w:i/>
          <w:iCs/>
        </w:rPr>
        <w:t>9</w:t>
      </w:r>
      <w:r w:rsidRPr="00211025">
        <w:rPr>
          <w:i/>
          <w:iCs/>
        </w:rPr>
        <w:t xml:space="preserve">.  </w:t>
      </w:r>
      <w:hyperlink r:id="rId41" w:history="1">
        <w:r w:rsidRPr="00F71885">
          <w:rPr>
            <w:rStyle w:val="Hyperlink"/>
            <w:i/>
            <w:iCs/>
          </w:rPr>
          <w:t>https://www.nrdc.org/sites/default/files/flawed-epa-approval-process-IB.pdf</w:t>
        </w:r>
      </w:hyperlink>
    </w:p>
    <w:p w14:paraId="456F55C7" w14:textId="77777777" w:rsidR="00E933B1" w:rsidRDefault="00E933B1" w:rsidP="00E933B1">
      <w:pPr>
        <w:pStyle w:val="NoSpacing"/>
        <w:rPr>
          <w:i/>
          <w:iCs/>
        </w:rPr>
      </w:pPr>
    </w:p>
    <w:p w14:paraId="5B3A9752" w14:textId="77777777" w:rsidR="00E933B1" w:rsidRDefault="00E933B1" w:rsidP="00E933B1">
      <w:pPr>
        <w:pStyle w:val="NoSpacing"/>
        <w:rPr>
          <w:i/>
          <w:iCs/>
        </w:rPr>
      </w:pPr>
      <w:r>
        <w:rPr>
          <w:i/>
          <w:iCs/>
        </w:rPr>
        <w:t>40.</w:t>
      </w:r>
      <w:r w:rsidRPr="00211025">
        <w:rPr>
          <w:i/>
          <w:iCs/>
        </w:rPr>
        <w:t xml:space="preserve"> </w:t>
      </w:r>
      <w:hyperlink r:id="rId42" w:history="1">
        <w:r w:rsidRPr="00F71885">
          <w:rPr>
            <w:rStyle w:val="Hyperlink"/>
            <w:i/>
            <w:iCs/>
          </w:rPr>
          <w:t>http://www.chicagotribune.com/news/watchdog/flames/ct-met-flames-regulators-20120510,0,6880244,full.story</w:t>
        </w:r>
      </w:hyperlink>
    </w:p>
    <w:p w14:paraId="71CC116F" w14:textId="77777777" w:rsidR="00E933B1" w:rsidRDefault="00E933B1" w:rsidP="00E933B1">
      <w:pPr>
        <w:pStyle w:val="NoSpacing"/>
        <w:rPr>
          <w:i/>
          <w:iCs/>
        </w:rPr>
      </w:pPr>
    </w:p>
    <w:p w14:paraId="3CC5B7B3" w14:textId="77777777" w:rsidR="00E933B1" w:rsidRPr="00F739FA" w:rsidRDefault="00E933B1" w:rsidP="00E933B1">
      <w:pPr>
        <w:pStyle w:val="NoSpacing"/>
        <w:rPr>
          <w:i/>
          <w:iCs/>
        </w:rPr>
      </w:pPr>
      <w:r>
        <w:rPr>
          <w:i/>
          <w:iCs/>
        </w:rPr>
        <w:t xml:space="preserve">41. </w:t>
      </w:r>
      <w:r w:rsidRPr="00211025">
        <w:rPr>
          <w:i/>
          <w:iCs/>
        </w:rPr>
        <w:t>http://www.truth-out.org/news/item/43517-the-precautionary-principle-asks-how-much-harm-is-avoidable-rather-than-how-much-harm-is-acceptable</w:t>
      </w:r>
    </w:p>
    <w:p w14:paraId="7E2AA955" w14:textId="4974C4F8" w:rsidR="00DF6406" w:rsidRDefault="00DF6406">
      <w:pPr>
        <w:rPr>
          <w:rFonts w:cstheme="minorHAnsi"/>
        </w:rPr>
      </w:pPr>
    </w:p>
    <w:p w14:paraId="04EDABFC" w14:textId="77777777" w:rsidR="0096200C" w:rsidRDefault="0096200C" w:rsidP="0096200C">
      <w:pPr>
        <w:pStyle w:val="NoSpacing"/>
        <w:rPr>
          <w:i/>
          <w:iCs/>
        </w:rPr>
      </w:pPr>
      <w:r>
        <w:rPr>
          <w:i/>
          <w:iCs/>
        </w:rPr>
        <w:lastRenderedPageBreak/>
        <w:t xml:space="preserve">42. </w:t>
      </w:r>
      <w:hyperlink r:id="rId43" w:history="1">
        <w:r w:rsidRPr="00F71885">
          <w:rPr>
            <w:rStyle w:val="Hyperlink"/>
            <w:i/>
            <w:iCs/>
          </w:rPr>
          <w:t>https://www.theguardian.com/business/2021/feb/16/revealed-monsanto-mexico-us-glyphosate-ban</w:t>
        </w:r>
      </w:hyperlink>
    </w:p>
    <w:p w14:paraId="2CEB96C6" w14:textId="77777777" w:rsidR="0096200C" w:rsidRDefault="0096200C" w:rsidP="0096200C">
      <w:pPr>
        <w:pStyle w:val="NoSpacing"/>
        <w:rPr>
          <w:i/>
          <w:iCs/>
        </w:rPr>
      </w:pPr>
    </w:p>
    <w:p w14:paraId="6503F48E" w14:textId="77777777" w:rsidR="0096200C" w:rsidRDefault="0096200C" w:rsidP="0096200C">
      <w:pPr>
        <w:pStyle w:val="NoSpacing"/>
        <w:rPr>
          <w:i/>
          <w:iCs/>
        </w:rPr>
      </w:pPr>
      <w:r>
        <w:rPr>
          <w:i/>
          <w:iCs/>
        </w:rPr>
        <w:t xml:space="preserve">43. </w:t>
      </w:r>
      <w:hyperlink r:id="rId44" w:history="1">
        <w:r w:rsidRPr="00F71885">
          <w:rPr>
            <w:rStyle w:val="Hyperlink"/>
            <w:i/>
            <w:iCs/>
          </w:rPr>
          <w:t>http://www.businessinsider.com/epa-only-restricts-9-chemicals-2016-2</w:t>
        </w:r>
      </w:hyperlink>
    </w:p>
    <w:p w14:paraId="63C9E87D" w14:textId="77777777" w:rsidR="0096200C" w:rsidRDefault="0096200C" w:rsidP="0096200C">
      <w:pPr>
        <w:pStyle w:val="NoSpacing"/>
        <w:rPr>
          <w:i/>
          <w:iCs/>
        </w:rPr>
      </w:pPr>
    </w:p>
    <w:p w14:paraId="53E8FBBE" w14:textId="77777777" w:rsidR="0096200C" w:rsidRPr="00F739FA" w:rsidRDefault="0096200C" w:rsidP="0096200C">
      <w:pPr>
        <w:pStyle w:val="NoSpacing"/>
        <w:rPr>
          <w:i/>
          <w:iCs/>
        </w:rPr>
      </w:pPr>
      <w:r>
        <w:rPr>
          <w:i/>
          <w:iCs/>
        </w:rPr>
        <w:t xml:space="preserve">44. </w:t>
      </w:r>
      <w:r w:rsidRPr="005452E9">
        <w:rPr>
          <w:i/>
          <w:iCs/>
        </w:rPr>
        <w:t>http://www.truth-out.org/news/item/43517-the-precautionary-principle-asks-how-much-harm-is-avoidable-rather-than-how-much-harm-is-acceptable</w:t>
      </w:r>
    </w:p>
    <w:p w14:paraId="1FB52F8B" w14:textId="77777777" w:rsidR="0096200C" w:rsidRPr="00767481" w:rsidRDefault="0096200C">
      <w:pPr>
        <w:rPr>
          <w:rFonts w:cstheme="minorHAnsi"/>
        </w:rPr>
      </w:pPr>
    </w:p>
    <w:sectPr w:rsidR="0096200C" w:rsidRPr="00767481" w:rsidSect="00A415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DBB7D" w14:textId="77777777" w:rsidR="00327B18" w:rsidRDefault="00327B18" w:rsidP="005B4C52">
      <w:r>
        <w:separator/>
      </w:r>
    </w:p>
  </w:endnote>
  <w:endnote w:type="continuationSeparator" w:id="0">
    <w:p w14:paraId="33CB7CFF" w14:textId="77777777" w:rsidR="00327B18" w:rsidRDefault="00327B18" w:rsidP="005B4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7D42D" w14:textId="77777777" w:rsidR="00327B18" w:rsidRDefault="00327B18" w:rsidP="005B4C52">
      <w:r>
        <w:separator/>
      </w:r>
    </w:p>
  </w:footnote>
  <w:footnote w:type="continuationSeparator" w:id="0">
    <w:p w14:paraId="27D76041" w14:textId="77777777" w:rsidR="00327B18" w:rsidRDefault="00327B18" w:rsidP="005B4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CF5E37"/>
    <w:multiLevelType w:val="multilevel"/>
    <w:tmpl w:val="76703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7AA"/>
    <w:rsid w:val="00000E9C"/>
    <w:rsid w:val="00001F99"/>
    <w:rsid w:val="000036D5"/>
    <w:rsid w:val="000055F3"/>
    <w:rsid w:val="00063FA2"/>
    <w:rsid w:val="000A12A4"/>
    <w:rsid w:val="000C5FB6"/>
    <w:rsid w:val="000D1D07"/>
    <w:rsid w:val="000D2A26"/>
    <w:rsid w:val="000E0084"/>
    <w:rsid w:val="000E486B"/>
    <w:rsid w:val="000F0050"/>
    <w:rsid w:val="00104668"/>
    <w:rsid w:val="00107B69"/>
    <w:rsid w:val="00110702"/>
    <w:rsid w:val="001109F9"/>
    <w:rsid w:val="00112241"/>
    <w:rsid w:val="001242FA"/>
    <w:rsid w:val="00135199"/>
    <w:rsid w:val="001661D6"/>
    <w:rsid w:val="0018615F"/>
    <w:rsid w:val="00187471"/>
    <w:rsid w:val="0019238E"/>
    <w:rsid w:val="001B5E58"/>
    <w:rsid w:val="001C2446"/>
    <w:rsid w:val="001D5121"/>
    <w:rsid w:val="001E5DB1"/>
    <w:rsid w:val="00225287"/>
    <w:rsid w:val="0023757E"/>
    <w:rsid w:val="002A5219"/>
    <w:rsid w:val="002E242C"/>
    <w:rsid w:val="002F471F"/>
    <w:rsid w:val="002F6EFD"/>
    <w:rsid w:val="00327B18"/>
    <w:rsid w:val="00332BE3"/>
    <w:rsid w:val="0034175B"/>
    <w:rsid w:val="00343EDF"/>
    <w:rsid w:val="003823DF"/>
    <w:rsid w:val="003832DC"/>
    <w:rsid w:val="003917FA"/>
    <w:rsid w:val="003A4C66"/>
    <w:rsid w:val="003A6385"/>
    <w:rsid w:val="003B1532"/>
    <w:rsid w:val="003D58DD"/>
    <w:rsid w:val="003F1BBE"/>
    <w:rsid w:val="003F776B"/>
    <w:rsid w:val="00402495"/>
    <w:rsid w:val="00402C5B"/>
    <w:rsid w:val="00413980"/>
    <w:rsid w:val="00416F9F"/>
    <w:rsid w:val="00423270"/>
    <w:rsid w:val="00423F12"/>
    <w:rsid w:val="0047787D"/>
    <w:rsid w:val="004958D4"/>
    <w:rsid w:val="00496E76"/>
    <w:rsid w:val="004A5C61"/>
    <w:rsid w:val="004D006D"/>
    <w:rsid w:val="004E26C5"/>
    <w:rsid w:val="00506FE5"/>
    <w:rsid w:val="00534E2C"/>
    <w:rsid w:val="00552A7C"/>
    <w:rsid w:val="005B1738"/>
    <w:rsid w:val="005B4C52"/>
    <w:rsid w:val="005D290C"/>
    <w:rsid w:val="005F7220"/>
    <w:rsid w:val="0062328D"/>
    <w:rsid w:val="00633F91"/>
    <w:rsid w:val="00636779"/>
    <w:rsid w:val="006370C1"/>
    <w:rsid w:val="0065441A"/>
    <w:rsid w:val="006615D5"/>
    <w:rsid w:val="0067142B"/>
    <w:rsid w:val="006A40F5"/>
    <w:rsid w:val="006A763B"/>
    <w:rsid w:val="006B51C3"/>
    <w:rsid w:val="006C0D74"/>
    <w:rsid w:val="006C62AD"/>
    <w:rsid w:val="006E0D2C"/>
    <w:rsid w:val="006E2279"/>
    <w:rsid w:val="00715FF0"/>
    <w:rsid w:val="007248B1"/>
    <w:rsid w:val="007265E8"/>
    <w:rsid w:val="00767481"/>
    <w:rsid w:val="007702E9"/>
    <w:rsid w:val="00773EF3"/>
    <w:rsid w:val="007816AD"/>
    <w:rsid w:val="00785E90"/>
    <w:rsid w:val="007916C6"/>
    <w:rsid w:val="00797EBB"/>
    <w:rsid w:val="007A6CAE"/>
    <w:rsid w:val="007C1299"/>
    <w:rsid w:val="007C31AE"/>
    <w:rsid w:val="007C38AF"/>
    <w:rsid w:val="007C5046"/>
    <w:rsid w:val="007D2D74"/>
    <w:rsid w:val="007D5120"/>
    <w:rsid w:val="0080277B"/>
    <w:rsid w:val="00823E38"/>
    <w:rsid w:val="00826E8D"/>
    <w:rsid w:val="0083009F"/>
    <w:rsid w:val="00836CF3"/>
    <w:rsid w:val="0084725F"/>
    <w:rsid w:val="00851CD4"/>
    <w:rsid w:val="00854EC8"/>
    <w:rsid w:val="00887B54"/>
    <w:rsid w:val="008B74A7"/>
    <w:rsid w:val="008C1515"/>
    <w:rsid w:val="008C3461"/>
    <w:rsid w:val="008C4D08"/>
    <w:rsid w:val="008E3065"/>
    <w:rsid w:val="008E50A9"/>
    <w:rsid w:val="008F6849"/>
    <w:rsid w:val="009175AA"/>
    <w:rsid w:val="00943EE9"/>
    <w:rsid w:val="0096200C"/>
    <w:rsid w:val="00974BE2"/>
    <w:rsid w:val="00980544"/>
    <w:rsid w:val="00994078"/>
    <w:rsid w:val="009D2F3C"/>
    <w:rsid w:val="009D6F07"/>
    <w:rsid w:val="009F38BD"/>
    <w:rsid w:val="00A10DA7"/>
    <w:rsid w:val="00A1665B"/>
    <w:rsid w:val="00A252B5"/>
    <w:rsid w:val="00A2767E"/>
    <w:rsid w:val="00A36BE5"/>
    <w:rsid w:val="00A415C4"/>
    <w:rsid w:val="00A41763"/>
    <w:rsid w:val="00A45E0A"/>
    <w:rsid w:val="00A51C96"/>
    <w:rsid w:val="00A6103A"/>
    <w:rsid w:val="00A9535B"/>
    <w:rsid w:val="00A95452"/>
    <w:rsid w:val="00A96C78"/>
    <w:rsid w:val="00AC49A0"/>
    <w:rsid w:val="00B14186"/>
    <w:rsid w:val="00B15510"/>
    <w:rsid w:val="00B51D2E"/>
    <w:rsid w:val="00B561DD"/>
    <w:rsid w:val="00B572FF"/>
    <w:rsid w:val="00B62939"/>
    <w:rsid w:val="00B67E44"/>
    <w:rsid w:val="00B74458"/>
    <w:rsid w:val="00B80077"/>
    <w:rsid w:val="00B812DA"/>
    <w:rsid w:val="00B84523"/>
    <w:rsid w:val="00B91B01"/>
    <w:rsid w:val="00B939A2"/>
    <w:rsid w:val="00BA6B55"/>
    <w:rsid w:val="00BC06A8"/>
    <w:rsid w:val="00BC0702"/>
    <w:rsid w:val="00BE6474"/>
    <w:rsid w:val="00C12041"/>
    <w:rsid w:val="00C4073F"/>
    <w:rsid w:val="00C40B9E"/>
    <w:rsid w:val="00C436EC"/>
    <w:rsid w:val="00C462CF"/>
    <w:rsid w:val="00C465A4"/>
    <w:rsid w:val="00C57CB5"/>
    <w:rsid w:val="00C57D87"/>
    <w:rsid w:val="00C65A23"/>
    <w:rsid w:val="00C963F0"/>
    <w:rsid w:val="00CF15E7"/>
    <w:rsid w:val="00D03F0E"/>
    <w:rsid w:val="00D050A9"/>
    <w:rsid w:val="00D26519"/>
    <w:rsid w:val="00D348B5"/>
    <w:rsid w:val="00D731E8"/>
    <w:rsid w:val="00DB2AA7"/>
    <w:rsid w:val="00DC3419"/>
    <w:rsid w:val="00DC6E3E"/>
    <w:rsid w:val="00DE3A5D"/>
    <w:rsid w:val="00DF6406"/>
    <w:rsid w:val="00E2014A"/>
    <w:rsid w:val="00E933B1"/>
    <w:rsid w:val="00F267AA"/>
    <w:rsid w:val="00F34274"/>
    <w:rsid w:val="00F369EC"/>
    <w:rsid w:val="00F42390"/>
    <w:rsid w:val="00F47A58"/>
    <w:rsid w:val="00F83049"/>
    <w:rsid w:val="00F90355"/>
    <w:rsid w:val="00FA65D1"/>
    <w:rsid w:val="00FA6E8E"/>
    <w:rsid w:val="00FB4AF0"/>
    <w:rsid w:val="00FB5FC2"/>
    <w:rsid w:val="00FB7B65"/>
    <w:rsid w:val="00FF78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9C3614"/>
  <w15:chartTrackingRefBased/>
  <w15:docId w15:val="{F8A2FFE2-D73D-3B4C-8E64-09657988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B4C5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267AA"/>
  </w:style>
  <w:style w:type="character" w:styleId="Hyperlink">
    <w:name w:val="Hyperlink"/>
    <w:basedOn w:val="DefaultParagraphFont"/>
    <w:uiPriority w:val="99"/>
    <w:unhideWhenUsed/>
    <w:rsid w:val="00F267AA"/>
    <w:rPr>
      <w:color w:val="0000FF"/>
      <w:u w:val="single"/>
    </w:rPr>
  </w:style>
  <w:style w:type="paragraph" w:styleId="NormalWeb">
    <w:name w:val="Normal (Web)"/>
    <w:basedOn w:val="Normal"/>
    <w:uiPriority w:val="99"/>
    <w:unhideWhenUsed/>
    <w:rsid w:val="0065441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10702"/>
    <w:rPr>
      <w:b/>
      <w:bCs/>
    </w:rPr>
  </w:style>
  <w:style w:type="character" w:styleId="Emphasis">
    <w:name w:val="Emphasis"/>
    <w:basedOn w:val="DefaultParagraphFont"/>
    <w:uiPriority w:val="20"/>
    <w:qFormat/>
    <w:rsid w:val="00C65A23"/>
    <w:rPr>
      <w:i/>
      <w:iCs/>
    </w:rPr>
  </w:style>
  <w:style w:type="character" w:styleId="UnresolvedMention">
    <w:name w:val="Unresolved Mention"/>
    <w:basedOn w:val="DefaultParagraphFont"/>
    <w:uiPriority w:val="99"/>
    <w:semiHidden/>
    <w:unhideWhenUsed/>
    <w:rsid w:val="00A252B5"/>
    <w:rPr>
      <w:color w:val="605E5C"/>
      <w:shd w:val="clear" w:color="auto" w:fill="E1DFDD"/>
    </w:rPr>
  </w:style>
  <w:style w:type="character" w:customStyle="1" w:styleId="Heading3Char">
    <w:name w:val="Heading 3 Char"/>
    <w:basedOn w:val="DefaultParagraphFont"/>
    <w:link w:val="Heading3"/>
    <w:uiPriority w:val="9"/>
    <w:rsid w:val="005B4C52"/>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5B4C52"/>
    <w:pPr>
      <w:tabs>
        <w:tab w:val="center" w:pos="4680"/>
        <w:tab w:val="right" w:pos="9360"/>
      </w:tabs>
    </w:pPr>
  </w:style>
  <w:style w:type="character" w:customStyle="1" w:styleId="HeaderChar">
    <w:name w:val="Header Char"/>
    <w:basedOn w:val="DefaultParagraphFont"/>
    <w:link w:val="Header"/>
    <w:uiPriority w:val="99"/>
    <w:rsid w:val="005B4C52"/>
  </w:style>
  <w:style w:type="paragraph" w:styleId="Footer">
    <w:name w:val="footer"/>
    <w:basedOn w:val="Normal"/>
    <w:link w:val="FooterChar"/>
    <w:uiPriority w:val="99"/>
    <w:unhideWhenUsed/>
    <w:rsid w:val="005B4C52"/>
    <w:pPr>
      <w:tabs>
        <w:tab w:val="center" w:pos="4680"/>
        <w:tab w:val="right" w:pos="9360"/>
      </w:tabs>
    </w:pPr>
  </w:style>
  <w:style w:type="character" w:customStyle="1" w:styleId="FooterChar">
    <w:name w:val="Footer Char"/>
    <w:basedOn w:val="DefaultParagraphFont"/>
    <w:link w:val="Footer"/>
    <w:uiPriority w:val="99"/>
    <w:rsid w:val="005B4C52"/>
  </w:style>
  <w:style w:type="character" w:styleId="FollowedHyperlink">
    <w:name w:val="FollowedHyperlink"/>
    <w:basedOn w:val="DefaultParagraphFont"/>
    <w:uiPriority w:val="99"/>
    <w:semiHidden/>
    <w:unhideWhenUsed/>
    <w:rsid w:val="00423F12"/>
    <w:rPr>
      <w:color w:val="954F72" w:themeColor="followedHyperlink"/>
      <w:u w:val="single"/>
    </w:rPr>
  </w:style>
  <w:style w:type="paragraph" w:styleId="ListParagraph">
    <w:name w:val="List Paragraph"/>
    <w:basedOn w:val="Normal"/>
    <w:uiPriority w:val="34"/>
    <w:qFormat/>
    <w:rsid w:val="00534E2C"/>
    <w:pPr>
      <w:ind w:left="720"/>
      <w:contextualSpacing/>
    </w:pPr>
  </w:style>
  <w:style w:type="paragraph" w:customStyle="1" w:styleId="CSP-ChapterBodyText">
    <w:name w:val="CSP - Chapter Body Text"/>
    <w:basedOn w:val="Normal"/>
    <w:qFormat/>
    <w:rsid w:val="00402C5B"/>
    <w:pPr>
      <w:ind w:firstLine="288"/>
      <w:jc w:val="both"/>
    </w:pPr>
    <w:rPr>
      <w:rFonts w:ascii="Garamond" w:eastAsia="Times New Roman" w:hAnsi="Garamond" w:cs="Times New Roman"/>
      <w:iCs/>
    </w:rPr>
  </w:style>
  <w:style w:type="paragraph" w:styleId="NoSpacing">
    <w:name w:val="No Spacing"/>
    <w:uiPriority w:val="1"/>
    <w:qFormat/>
    <w:rsid w:val="00E933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34840">
      <w:bodyDiv w:val="1"/>
      <w:marLeft w:val="0"/>
      <w:marRight w:val="0"/>
      <w:marTop w:val="0"/>
      <w:marBottom w:val="0"/>
      <w:divBdr>
        <w:top w:val="none" w:sz="0" w:space="0" w:color="auto"/>
        <w:left w:val="none" w:sz="0" w:space="0" w:color="auto"/>
        <w:bottom w:val="none" w:sz="0" w:space="0" w:color="auto"/>
        <w:right w:val="none" w:sz="0" w:space="0" w:color="auto"/>
      </w:divBdr>
    </w:div>
    <w:div w:id="122038963">
      <w:bodyDiv w:val="1"/>
      <w:marLeft w:val="0"/>
      <w:marRight w:val="0"/>
      <w:marTop w:val="0"/>
      <w:marBottom w:val="0"/>
      <w:divBdr>
        <w:top w:val="none" w:sz="0" w:space="0" w:color="auto"/>
        <w:left w:val="none" w:sz="0" w:space="0" w:color="auto"/>
        <w:bottom w:val="none" w:sz="0" w:space="0" w:color="auto"/>
        <w:right w:val="none" w:sz="0" w:space="0" w:color="auto"/>
      </w:divBdr>
    </w:div>
    <w:div w:id="208415861">
      <w:bodyDiv w:val="1"/>
      <w:marLeft w:val="0"/>
      <w:marRight w:val="0"/>
      <w:marTop w:val="0"/>
      <w:marBottom w:val="0"/>
      <w:divBdr>
        <w:top w:val="none" w:sz="0" w:space="0" w:color="auto"/>
        <w:left w:val="none" w:sz="0" w:space="0" w:color="auto"/>
        <w:bottom w:val="none" w:sz="0" w:space="0" w:color="auto"/>
        <w:right w:val="none" w:sz="0" w:space="0" w:color="auto"/>
      </w:divBdr>
    </w:div>
    <w:div w:id="302269847">
      <w:bodyDiv w:val="1"/>
      <w:marLeft w:val="0"/>
      <w:marRight w:val="0"/>
      <w:marTop w:val="0"/>
      <w:marBottom w:val="0"/>
      <w:divBdr>
        <w:top w:val="none" w:sz="0" w:space="0" w:color="auto"/>
        <w:left w:val="none" w:sz="0" w:space="0" w:color="auto"/>
        <w:bottom w:val="none" w:sz="0" w:space="0" w:color="auto"/>
        <w:right w:val="none" w:sz="0" w:space="0" w:color="auto"/>
      </w:divBdr>
    </w:div>
    <w:div w:id="334259688">
      <w:bodyDiv w:val="1"/>
      <w:marLeft w:val="0"/>
      <w:marRight w:val="0"/>
      <w:marTop w:val="0"/>
      <w:marBottom w:val="0"/>
      <w:divBdr>
        <w:top w:val="none" w:sz="0" w:space="0" w:color="auto"/>
        <w:left w:val="none" w:sz="0" w:space="0" w:color="auto"/>
        <w:bottom w:val="none" w:sz="0" w:space="0" w:color="auto"/>
        <w:right w:val="none" w:sz="0" w:space="0" w:color="auto"/>
      </w:divBdr>
    </w:div>
    <w:div w:id="409815992">
      <w:bodyDiv w:val="1"/>
      <w:marLeft w:val="0"/>
      <w:marRight w:val="0"/>
      <w:marTop w:val="0"/>
      <w:marBottom w:val="0"/>
      <w:divBdr>
        <w:top w:val="none" w:sz="0" w:space="0" w:color="auto"/>
        <w:left w:val="none" w:sz="0" w:space="0" w:color="auto"/>
        <w:bottom w:val="none" w:sz="0" w:space="0" w:color="auto"/>
        <w:right w:val="none" w:sz="0" w:space="0" w:color="auto"/>
      </w:divBdr>
    </w:div>
    <w:div w:id="539898214">
      <w:bodyDiv w:val="1"/>
      <w:marLeft w:val="0"/>
      <w:marRight w:val="0"/>
      <w:marTop w:val="0"/>
      <w:marBottom w:val="0"/>
      <w:divBdr>
        <w:top w:val="none" w:sz="0" w:space="0" w:color="auto"/>
        <w:left w:val="none" w:sz="0" w:space="0" w:color="auto"/>
        <w:bottom w:val="none" w:sz="0" w:space="0" w:color="auto"/>
        <w:right w:val="none" w:sz="0" w:space="0" w:color="auto"/>
      </w:divBdr>
      <w:divsChild>
        <w:div w:id="570699840">
          <w:marLeft w:val="0"/>
          <w:marRight w:val="0"/>
          <w:marTop w:val="0"/>
          <w:marBottom w:val="0"/>
          <w:divBdr>
            <w:top w:val="none" w:sz="0" w:space="0" w:color="auto"/>
            <w:left w:val="none" w:sz="0" w:space="0" w:color="auto"/>
            <w:bottom w:val="none" w:sz="0" w:space="0" w:color="auto"/>
            <w:right w:val="none" w:sz="0" w:space="0" w:color="auto"/>
          </w:divBdr>
          <w:divsChild>
            <w:div w:id="1959481017">
              <w:marLeft w:val="0"/>
              <w:marRight w:val="0"/>
              <w:marTop w:val="0"/>
              <w:marBottom w:val="0"/>
              <w:divBdr>
                <w:top w:val="none" w:sz="0" w:space="0" w:color="auto"/>
                <w:left w:val="none" w:sz="0" w:space="0" w:color="auto"/>
                <w:bottom w:val="none" w:sz="0" w:space="0" w:color="auto"/>
                <w:right w:val="none" w:sz="0" w:space="0" w:color="auto"/>
              </w:divBdr>
              <w:divsChild>
                <w:div w:id="15225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015325">
      <w:bodyDiv w:val="1"/>
      <w:marLeft w:val="0"/>
      <w:marRight w:val="0"/>
      <w:marTop w:val="0"/>
      <w:marBottom w:val="0"/>
      <w:divBdr>
        <w:top w:val="none" w:sz="0" w:space="0" w:color="auto"/>
        <w:left w:val="none" w:sz="0" w:space="0" w:color="auto"/>
        <w:bottom w:val="none" w:sz="0" w:space="0" w:color="auto"/>
        <w:right w:val="none" w:sz="0" w:space="0" w:color="auto"/>
      </w:divBdr>
    </w:div>
    <w:div w:id="555043751">
      <w:bodyDiv w:val="1"/>
      <w:marLeft w:val="0"/>
      <w:marRight w:val="0"/>
      <w:marTop w:val="0"/>
      <w:marBottom w:val="0"/>
      <w:divBdr>
        <w:top w:val="none" w:sz="0" w:space="0" w:color="auto"/>
        <w:left w:val="none" w:sz="0" w:space="0" w:color="auto"/>
        <w:bottom w:val="none" w:sz="0" w:space="0" w:color="auto"/>
        <w:right w:val="none" w:sz="0" w:space="0" w:color="auto"/>
      </w:divBdr>
      <w:divsChild>
        <w:div w:id="132799475">
          <w:blockQuote w:val="1"/>
          <w:marLeft w:val="0"/>
          <w:marRight w:val="0"/>
          <w:marTop w:val="240"/>
          <w:marBottom w:val="240"/>
          <w:divBdr>
            <w:top w:val="none" w:sz="0" w:space="0" w:color="auto"/>
            <w:left w:val="single" w:sz="6" w:space="0" w:color="auto"/>
            <w:bottom w:val="none" w:sz="0" w:space="0" w:color="auto"/>
            <w:right w:val="none" w:sz="0" w:space="0" w:color="auto"/>
          </w:divBdr>
        </w:div>
      </w:divsChild>
    </w:div>
    <w:div w:id="564799728">
      <w:bodyDiv w:val="1"/>
      <w:marLeft w:val="0"/>
      <w:marRight w:val="0"/>
      <w:marTop w:val="0"/>
      <w:marBottom w:val="0"/>
      <w:divBdr>
        <w:top w:val="none" w:sz="0" w:space="0" w:color="auto"/>
        <w:left w:val="none" w:sz="0" w:space="0" w:color="auto"/>
        <w:bottom w:val="none" w:sz="0" w:space="0" w:color="auto"/>
        <w:right w:val="none" w:sz="0" w:space="0" w:color="auto"/>
      </w:divBdr>
    </w:div>
    <w:div w:id="576482246">
      <w:bodyDiv w:val="1"/>
      <w:marLeft w:val="0"/>
      <w:marRight w:val="0"/>
      <w:marTop w:val="0"/>
      <w:marBottom w:val="0"/>
      <w:divBdr>
        <w:top w:val="none" w:sz="0" w:space="0" w:color="auto"/>
        <w:left w:val="none" w:sz="0" w:space="0" w:color="auto"/>
        <w:bottom w:val="none" w:sz="0" w:space="0" w:color="auto"/>
        <w:right w:val="none" w:sz="0" w:space="0" w:color="auto"/>
      </w:divBdr>
    </w:div>
    <w:div w:id="577061576">
      <w:bodyDiv w:val="1"/>
      <w:marLeft w:val="0"/>
      <w:marRight w:val="0"/>
      <w:marTop w:val="0"/>
      <w:marBottom w:val="0"/>
      <w:divBdr>
        <w:top w:val="none" w:sz="0" w:space="0" w:color="auto"/>
        <w:left w:val="none" w:sz="0" w:space="0" w:color="auto"/>
        <w:bottom w:val="none" w:sz="0" w:space="0" w:color="auto"/>
        <w:right w:val="none" w:sz="0" w:space="0" w:color="auto"/>
      </w:divBdr>
    </w:div>
    <w:div w:id="831026458">
      <w:bodyDiv w:val="1"/>
      <w:marLeft w:val="0"/>
      <w:marRight w:val="0"/>
      <w:marTop w:val="0"/>
      <w:marBottom w:val="0"/>
      <w:divBdr>
        <w:top w:val="none" w:sz="0" w:space="0" w:color="auto"/>
        <w:left w:val="none" w:sz="0" w:space="0" w:color="auto"/>
        <w:bottom w:val="none" w:sz="0" w:space="0" w:color="auto"/>
        <w:right w:val="none" w:sz="0" w:space="0" w:color="auto"/>
      </w:divBdr>
    </w:div>
    <w:div w:id="838733792">
      <w:bodyDiv w:val="1"/>
      <w:marLeft w:val="0"/>
      <w:marRight w:val="0"/>
      <w:marTop w:val="0"/>
      <w:marBottom w:val="0"/>
      <w:divBdr>
        <w:top w:val="none" w:sz="0" w:space="0" w:color="auto"/>
        <w:left w:val="none" w:sz="0" w:space="0" w:color="auto"/>
        <w:bottom w:val="none" w:sz="0" w:space="0" w:color="auto"/>
        <w:right w:val="none" w:sz="0" w:space="0" w:color="auto"/>
      </w:divBdr>
    </w:div>
    <w:div w:id="871963997">
      <w:bodyDiv w:val="1"/>
      <w:marLeft w:val="0"/>
      <w:marRight w:val="0"/>
      <w:marTop w:val="0"/>
      <w:marBottom w:val="0"/>
      <w:divBdr>
        <w:top w:val="none" w:sz="0" w:space="0" w:color="auto"/>
        <w:left w:val="none" w:sz="0" w:space="0" w:color="auto"/>
        <w:bottom w:val="none" w:sz="0" w:space="0" w:color="auto"/>
        <w:right w:val="none" w:sz="0" w:space="0" w:color="auto"/>
      </w:divBdr>
    </w:div>
    <w:div w:id="916671399">
      <w:bodyDiv w:val="1"/>
      <w:marLeft w:val="0"/>
      <w:marRight w:val="0"/>
      <w:marTop w:val="0"/>
      <w:marBottom w:val="0"/>
      <w:divBdr>
        <w:top w:val="none" w:sz="0" w:space="0" w:color="auto"/>
        <w:left w:val="none" w:sz="0" w:space="0" w:color="auto"/>
        <w:bottom w:val="none" w:sz="0" w:space="0" w:color="auto"/>
        <w:right w:val="none" w:sz="0" w:space="0" w:color="auto"/>
      </w:divBdr>
    </w:div>
    <w:div w:id="967200473">
      <w:bodyDiv w:val="1"/>
      <w:marLeft w:val="0"/>
      <w:marRight w:val="0"/>
      <w:marTop w:val="0"/>
      <w:marBottom w:val="0"/>
      <w:divBdr>
        <w:top w:val="none" w:sz="0" w:space="0" w:color="auto"/>
        <w:left w:val="none" w:sz="0" w:space="0" w:color="auto"/>
        <w:bottom w:val="none" w:sz="0" w:space="0" w:color="auto"/>
        <w:right w:val="none" w:sz="0" w:space="0" w:color="auto"/>
      </w:divBdr>
    </w:div>
    <w:div w:id="994454309">
      <w:bodyDiv w:val="1"/>
      <w:marLeft w:val="0"/>
      <w:marRight w:val="0"/>
      <w:marTop w:val="0"/>
      <w:marBottom w:val="0"/>
      <w:divBdr>
        <w:top w:val="none" w:sz="0" w:space="0" w:color="auto"/>
        <w:left w:val="none" w:sz="0" w:space="0" w:color="auto"/>
        <w:bottom w:val="none" w:sz="0" w:space="0" w:color="auto"/>
        <w:right w:val="none" w:sz="0" w:space="0" w:color="auto"/>
      </w:divBdr>
    </w:div>
    <w:div w:id="1050886124">
      <w:bodyDiv w:val="1"/>
      <w:marLeft w:val="0"/>
      <w:marRight w:val="0"/>
      <w:marTop w:val="0"/>
      <w:marBottom w:val="0"/>
      <w:divBdr>
        <w:top w:val="none" w:sz="0" w:space="0" w:color="auto"/>
        <w:left w:val="none" w:sz="0" w:space="0" w:color="auto"/>
        <w:bottom w:val="none" w:sz="0" w:space="0" w:color="auto"/>
        <w:right w:val="none" w:sz="0" w:space="0" w:color="auto"/>
      </w:divBdr>
    </w:div>
    <w:div w:id="1091702006">
      <w:bodyDiv w:val="1"/>
      <w:marLeft w:val="0"/>
      <w:marRight w:val="0"/>
      <w:marTop w:val="0"/>
      <w:marBottom w:val="0"/>
      <w:divBdr>
        <w:top w:val="none" w:sz="0" w:space="0" w:color="auto"/>
        <w:left w:val="none" w:sz="0" w:space="0" w:color="auto"/>
        <w:bottom w:val="none" w:sz="0" w:space="0" w:color="auto"/>
        <w:right w:val="none" w:sz="0" w:space="0" w:color="auto"/>
      </w:divBdr>
    </w:div>
    <w:div w:id="1220483919">
      <w:bodyDiv w:val="1"/>
      <w:marLeft w:val="0"/>
      <w:marRight w:val="0"/>
      <w:marTop w:val="0"/>
      <w:marBottom w:val="0"/>
      <w:divBdr>
        <w:top w:val="none" w:sz="0" w:space="0" w:color="auto"/>
        <w:left w:val="none" w:sz="0" w:space="0" w:color="auto"/>
        <w:bottom w:val="none" w:sz="0" w:space="0" w:color="auto"/>
        <w:right w:val="none" w:sz="0" w:space="0" w:color="auto"/>
      </w:divBdr>
    </w:div>
    <w:div w:id="1237402273">
      <w:bodyDiv w:val="1"/>
      <w:marLeft w:val="0"/>
      <w:marRight w:val="0"/>
      <w:marTop w:val="0"/>
      <w:marBottom w:val="0"/>
      <w:divBdr>
        <w:top w:val="none" w:sz="0" w:space="0" w:color="auto"/>
        <w:left w:val="none" w:sz="0" w:space="0" w:color="auto"/>
        <w:bottom w:val="none" w:sz="0" w:space="0" w:color="auto"/>
        <w:right w:val="none" w:sz="0" w:space="0" w:color="auto"/>
      </w:divBdr>
    </w:div>
    <w:div w:id="1621183610">
      <w:bodyDiv w:val="1"/>
      <w:marLeft w:val="0"/>
      <w:marRight w:val="0"/>
      <w:marTop w:val="0"/>
      <w:marBottom w:val="0"/>
      <w:divBdr>
        <w:top w:val="none" w:sz="0" w:space="0" w:color="auto"/>
        <w:left w:val="none" w:sz="0" w:space="0" w:color="auto"/>
        <w:bottom w:val="none" w:sz="0" w:space="0" w:color="auto"/>
        <w:right w:val="none" w:sz="0" w:space="0" w:color="auto"/>
      </w:divBdr>
    </w:div>
    <w:div w:id="1716854137">
      <w:bodyDiv w:val="1"/>
      <w:marLeft w:val="0"/>
      <w:marRight w:val="0"/>
      <w:marTop w:val="0"/>
      <w:marBottom w:val="0"/>
      <w:divBdr>
        <w:top w:val="none" w:sz="0" w:space="0" w:color="auto"/>
        <w:left w:val="none" w:sz="0" w:space="0" w:color="auto"/>
        <w:bottom w:val="none" w:sz="0" w:space="0" w:color="auto"/>
        <w:right w:val="none" w:sz="0" w:space="0" w:color="auto"/>
      </w:divBdr>
    </w:div>
    <w:div w:id="1907448873">
      <w:bodyDiv w:val="1"/>
      <w:marLeft w:val="0"/>
      <w:marRight w:val="0"/>
      <w:marTop w:val="0"/>
      <w:marBottom w:val="0"/>
      <w:divBdr>
        <w:top w:val="none" w:sz="0" w:space="0" w:color="auto"/>
        <w:left w:val="none" w:sz="0" w:space="0" w:color="auto"/>
        <w:bottom w:val="none" w:sz="0" w:space="0" w:color="auto"/>
        <w:right w:val="none" w:sz="0" w:space="0" w:color="auto"/>
      </w:divBdr>
    </w:div>
    <w:div w:id="1960604858">
      <w:bodyDiv w:val="1"/>
      <w:marLeft w:val="0"/>
      <w:marRight w:val="0"/>
      <w:marTop w:val="0"/>
      <w:marBottom w:val="0"/>
      <w:divBdr>
        <w:top w:val="none" w:sz="0" w:space="0" w:color="auto"/>
        <w:left w:val="none" w:sz="0" w:space="0" w:color="auto"/>
        <w:bottom w:val="none" w:sz="0" w:space="0" w:color="auto"/>
        <w:right w:val="none" w:sz="0" w:space="0" w:color="auto"/>
      </w:divBdr>
    </w:div>
    <w:div w:id="1989017736">
      <w:bodyDiv w:val="1"/>
      <w:marLeft w:val="0"/>
      <w:marRight w:val="0"/>
      <w:marTop w:val="0"/>
      <w:marBottom w:val="0"/>
      <w:divBdr>
        <w:top w:val="none" w:sz="0" w:space="0" w:color="auto"/>
        <w:left w:val="none" w:sz="0" w:space="0" w:color="auto"/>
        <w:bottom w:val="none" w:sz="0" w:space="0" w:color="auto"/>
        <w:right w:val="none" w:sz="0" w:space="0" w:color="auto"/>
      </w:divBdr>
    </w:div>
    <w:div w:id="2103328967">
      <w:bodyDiv w:val="1"/>
      <w:marLeft w:val="0"/>
      <w:marRight w:val="0"/>
      <w:marTop w:val="0"/>
      <w:marBottom w:val="0"/>
      <w:divBdr>
        <w:top w:val="none" w:sz="0" w:space="0" w:color="auto"/>
        <w:left w:val="none" w:sz="0" w:space="0" w:color="auto"/>
        <w:bottom w:val="none" w:sz="0" w:space="0" w:color="auto"/>
        <w:right w:val="none" w:sz="0" w:space="0" w:color="auto"/>
      </w:divBdr>
    </w:div>
    <w:div w:id="2108773916">
      <w:bodyDiv w:val="1"/>
      <w:marLeft w:val="0"/>
      <w:marRight w:val="0"/>
      <w:marTop w:val="0"/>
      <w:marBottom w:val="0"/>
      <w:divBdr>
        <w:top w:val="none" w:sz="0" w:space="0" w:color="auto"/>
        <w:left w:val="none" w:sz="0" w:space="0" w:color="auto"/>
        <w:bottom w:val="none" w:sz="0" w:space="0" w:color="auto"/>
        <w:right w:val="none" w:sz="0" w:space="0" w:color="auto"/>
      </w:divBdr>
    </w:div>
    <w:div w:id="2116632796">
      <w:bodyDiv w:val="1"/>
      <w:marLeft w:val="0"/>
      <w:marRight w:val="0"/>
      <w:marTop w:val="0"/>
      <w:marBottom w:val="0"/>
      <w:divBdr>
        <w:top w:val="none" w:sz="0" w:space="0" w:color="auto"/>
        <w:left w:val="none" w:sz="0" w:space="0" w:color="auto"/>
        <w:bottom w:val="none" w:sz="0" w:space="0" w:color="auto"/>
        <w:right w:val="none" w:sz="0" w:space="0" w:color="auto"/>
      </w:divBdr>
      <w:divsChild>
        <w:div w:id="177815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ournals.lww.com/epidem/Abstract/1990/09000/A_Case_Control_Study_of_Non_Hodgkin_s_Lymphoma_and.4.aspx" TargetMode="External"/><Relationship Id="rId18" Type="http://schemas.openxmlformats.org/officeDocument/2006/relationships/hyperlink" Target="https://www.sciencedirect.com/science/article/abs/pii/S0013935106002416?via%3Dihub" TargetMode="External"/><Relationship Id="rId26" Type="http://schemas.openxmlformats.org/officeDocument/2006/relationships/hyperlink" Target="https://www.centerforfoodsafety.org/blog/5063/how-monsanto-is-devastating-thousands-of-farms-across-20-states" TargetMode="External"/><Relationship Id="rId39" Type="http://schemas.openxmlformats.org/officeDocument/2006/relationships/hyperlink" Target="http://precaution.org/lib/ruckelshaus_risk_in_a_free_society_(risk_assessment).1984.pdf" TargetMode="External"/><Relationship Id="rId21" Type="http://schemas.openxmlformats.org/officeDocument/2006/relationships/hyperlink" Target="https://www.sciencedirect.com/science/article/abs/pii/S0161813X21001169?via%3Dihub" TargetMode="External"/><Relationship Id="rId34" Type="http://schemas.openxmlformats.org/officeDocument/2006/relationships/hyperlink" Target="https://doi.org/10.1093/jnci/djw322" TargetMode="External"/><Relationship Id="rId42" Type="http://schemas.openxmlformats.org/officeDocument/2006/relationships/hyperlink" Target="http://www.chicagotribune.com/news/watchdog/flames/ct-met-flames-regulators-20120510,0,6880244,full.stor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onlinelibrary.wiley.com/doi/10.1002/bdr2.1448" TargetMode="External"/><Relationship Id="rId29" Type="http://schemas.openxmlformats.org/officeDocument/2006/relationships/hyperlink" Target="https://www.xerces.org/publications/scientific-reports/drifting-toward-disast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mc/articles/PMC4025008/" TargetMode="External"/><Relationship Id="rId24" Type="http://schemas.openxmlformats.org/officeDocument/2006/relationships/hyperlink" Target="https://www.ncbi.nlm.nih.gov/pmc/articles/PMC2848015/" TargetMode="External"/><Relationship Id="rId32" Type="http://schemas.openxmlformats.org/officeDocument/2006/relationships/hyperlink" Target="https://www.centerforfoodsafety.org/press-releases/6178/epa-reapproves-dangerous-drift-prone-dicamba-pesticides-recently-banned-by-federal-court-for-causing-widespread-economic-harm-to-farmers" TargetMode="External"/><Relationship Id="rId37" Type="http://schemas.openxmlformats.org/officeDocument/2006/relationships/hyperlink" Target="https://www.chicagotribune.com/investigations/ct-gmo-crops-pesticide-resistance-met-20151203-story.html" TargetMode="External"/><Relationship Id="rId40" Type="http://schemas.openxmlformats.org/officeDocument/2006/relationships/hyperlink" Target="https://www.nap.edu/read/1802/chapter/1"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ncbi.nlm.nih.gov/pmc/articles/PMC1469337/" TargetMode="External"/><Relationship Id="rId23" Type="http://schemas.openxmlformats.org/officeDocument/2006/relationships/hyperlink" Target="https://www.sciencedirect.com/science/article/abs/pii/016579929190105D" TargetMode="External"/><Relationship Id="rId28" Type="http://schemas.openxmlformats.org/officeDocument/2006/relationships/hyperlink" Target="https://thecounter.org/dicamba-damaging-trees-across-midwest-and-south/" TargetMode="External"/><Relationship Id="rId36" Type="http://schemas.openxmlformats.org/officeDocument/2006/relationships/hyperlink" Target="https://www.washingtonpost.com/national/health-science/what-to-know-before-you-spray-your-lawn-with-pesticides/2014/07/07/77d719a2-f63c-11e3-a606-946fd632f9f1_story.html" TargetMode="External"/><Relationship Id="rId10" Type="http://schemas.openxmlformats.org/officeDocument/2006/relationships/hyperlink" Target="https://www.sciencedirect.com/science/article/abs/pii/S1047279717302466?via%3Dihub" TargetMode="External"/><Relationship Id="rId19" Type="http://schemas.openxmlformats.org/officeDocument/2006/relationships/hyperlink" Target="https://jamanetwork.com/journals/jamaneurology/fullarticle/797977" TargetMode="External"/><Relationship Id="rId31" Type="http://schemas.openxmlformats.org/officeDocument/2006/relationships/hyperlink" Target="https://cdn.ca9.uscourts.gov/datastore/opinions/2020/06/03/19-70115.pdf" TargetMode="External"/><Relationship Id="rId44" Type="http://schemas.openxmlformats.org/officeDocument/2006/relationships/hyperlink" Target="http://www.businessinsider.com/epa-only-restricts-9-chemicals-2016-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hp.niehs.nih.gov/doi/pdf/10.1289/ehp.5830" TargetMode="External"/><Relationship Id="rId22" Type="http://schemas.openxmlformats.org/officeDocument/2006/relationships/hyperlink" Target="https://www.ncbi.nlm.nih.gov/pmc/articles/PMC3795845/" TargetMode="External"/><Relationship Id="rId27" Type="http://schemas.openxmlformats.org/officeDocument/2006/relationships/hyperlink" Target="https://www.dtnpf.com/agriculture/web/ag/crops/article/2018/07/20/dicamba-moves-beyond-bean-fields-eye" TargetMode="External"/><Relationship Id="rId30" Type="http://schemas.openxmlformats.org/officeDocument/2006/relationships/hyperlink" Target="https://www.regulations.gov/document/EPA-HQ-OPP-2016-0223-0028" TargetMode="External"/><Relationship Id="rId35" Type="http://schemas.openxmlformats.org/officeDocument/2006/relationships/hyperlink" Target="https://ec.europa.eu/commission/presscorner/detail/en/qanda_22_3694" TargetMode="External"/><Relationship Id="rId43" Type="http://schemas.openxmlformats.org/officeDocument/2006/relationships/hyperlink" Target="https://www.theguardian.com/business/2021/feb/16/revealed-monsanto-mexico-us-glyphosate-ban"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nyaspubs.onlinelibrary.wiley.com/doi/abs/10.1196/annals.1371.036" TargetMode="External"/><Relationship Id="rId17" Type="http://schemas.openxmlformats.org/officeDocument/2006/relationships/hyperlink" Target="https://www.tandfonline.com/doi/abs/10.1179/oeh.2005.11.2.123" TargetMode="External"/><Relationship Id="rId25" Type="http://schemas.openxmlformats.org/officeDocument/2006/relationships/hyperlink" Target="https://www.ncbi.nlm.nih.gov/pmc/articles/PMC1128552/" TargetMode="External"/><Relationship Id="rId33" Type="http://schemas.openxmlformats.org/officeDocument/2006/relationships/hyperlink" Target="https://www.iarc.who.int/wp-content/uploads/2018/07/pr236_E.pdf" TargetMode="External"/><Relationship Id="rId38" Type="http://schemas.openxmlformats.org/officeDocument/2006/relationships/hyperlink" Target="https://theintercept.com/2019/08/23/monsanto-republicans-cancer-research/" TargetMode="External"/><Relationship Id="rId46" Type="http://schemas.openxmlformats.org/officeDocument/2006/relationships/theme" Target="theme/theme1.xml"/><Relationship Id="rId20" Type="http://schemas.openxmlformats.org/officeDocument/2006/relationships/hyperlink" Target="https://www.sciencedirect.com/science/article/abs/pii/S0161813X21001169?via%3Dihub" TargetMode="External"/><Relationship Id="rId41" Type="http://schemas.openxmlformats.org/officeDocument/2006/relationships/hyperlink" Target="https://www.nrdc.org/sites/default/files/flawed-epa-approval-process-I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C2F6D-89A9-5A40-9BAD-F085CC9AB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734</TotalTime>
  <Pages>21</Pages>
  <Words>8941</Words>
  <Characters>50969</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Moench</dc:creator>
  <cp:keywords/>
  <dc:description/>
  <cp:lastModifiedBy>Brian Moench</cp:lastModifiedBy>
  <cp:revision>8</cp:revision>
  <dcterms:created xsi:type="dcterms:W3CDTF">2023-03-31T21:03:00Z</dcterms:created>
  <dcterms:modified xsi:type="dcterms:W3CDTF">2023-04-10T03:09:00Z</dcterms:modified>
</cp:coreProperties>
</file>